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45A" w:rsidRPr="004F6BB5" w:rsidRDefault="0059545A" w:rsidP="0059545A">
      <w:pPr>
        <w:rPr>
          <w:b/>
        </w:rPr>
      </w:pPr>
      <w:r w:rsidRPr="004F6BB5">
        <w:rPr>
          <w:b/>
        </w:rPr>
        <w:t>Name:  Shruti</w:t>
      </w:r>
      <w:r w:rsidR="00FE4862" w:rsidRPr="004F6BB5">
        <w:rPr>
          <w:b/>
        </w:rPr>
        <w:t xml:space="preserve"> </w:t>
      </w:r>
      <w:r w:rsidRPr="004F6BB5">
        <w:rPr>
          <w:b/>
        </w:rPr>
        <w:t>Tripathi</w:t>
      </w:r>
    </w:p>
    <w:p w:rsidR="0059545A" w:rsidRPr="004F6BB5" w:rsidRDefault="00963E8C" w:rsidP="0059545A">
      <w:pPr>
        <w:rPr>
          <w:b/>
        </w:rPr>
      </w:pPr>
      <w:r w:rsidRPr="004F6BB5">
        <w:rPr>
          <w:b/>
        </w:rPr>
        <w:t xml:space="preserve">Contact no: </w:t>
      </w:r>
      <w:r w:rsidR="00174EBE">
        <w:rPr>
          <w:b/>
        </w:rPr>
        <w:t>26569303 Ext: 134, 208</w:t>
      </w:r>
    </w:p>
    <w:p w:rsidR="0059545A" w:rsidRPr="004F6BB5" w:rsidRDefault="0059545A" w:rsidP="0059545A">
      <w:pPr>
        <w:rPr>
          <w:b/>
        </w:rPr>
      </w:pPr>
      <w:r w:rsidRPr="004F6BB5">
        <w:rPr>
          <w:b/>
        </w:rPr>
        <w:t>Address: G-36, Lajpat Nagar -3</w:t>
      </w:r>
      <w:r w:rsidR="00963E8C" w:rsidRPr="004F6BB5">
        <w:rPr>
          <w:b/>
        </w:rPr>
        <w:t>,</w:t>
      </w:r>
      <w:r w:rsidRPr="004F6BB5">
        <w:rPr>
          <w:b/>
        </w:rPr>
        <w:t xml:space="preserve"> New Delhi- 110024 </w:t>
      </w:r>
    </w:p>
    <w:p w:rsidR="005D12CA" w:rsidRDefault="0059545A" w:rsidP="0059545A">
      <w:pPr>
        <w:pBdr>
          <w:bottom w:val="single" w:sz="6" w:space="1" w:color="auto"/>
        </w:pBdr>
      </w:pPr>
      <w:r w:rsidRPr="004F6BB5">
        <w:rPr>
          <w:b/>
        </w:rPr>
        <w:t>E-mail</w:t>
      </w:r>
      <w:r w:rsidRPr="005A0D12">
        <w:rPr>
          <w:b/>
        </w:rPr>
        <w:t xml:space="preserve">: </w:t>
      </w:r>
      <w:r w:rsidR="006A768C" w:rsidRPr="005A0D12">
        <w:rPr>
          <w:b/>
        </w:rPr>
        <w:t>shruti.tripathi@</w:t>
      </w:r>
      <w:r w:rsidR="005A0D12" w:rsidRPr="005A0D12">
        <w:rPr>
          <w:b/>
        </w:rPr>
        <w:t>nipfp.org.in</w:t>
      </w:r>
    </w:p>
    <w:p w:rsidR="005D12CA" w:rsidRDefault="005D12CA" w:rsidP="0059545A"/>
    <w:tbl>
      <w:tblPr>
        <w:tblStyle w:val="TableGrid"/>
        <w:tblW w:w="9108" w:type="dxa"/>
        <w:tblBorders>
          <w:insideH w:val="none" w:sz="0" w:space="0" w:color="auto"/>
          <w:insideV w:val="none" w:sz="0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738"/>
        <w:gridCol w:w="2250"/>
        <w:gridCol w:w="4140"/>
        <w:gridCol w:w="1980"/>
      </w:tblGrid>
      <w:tr w:rsidR="00604A62" w:rsidTr="00DC4ED1">
        <w:trPr>
          <w:trHeight w:val="330"/>
        </w:trPr>
        <w:tc>
          <w:tcPr>
            <w:tcW w:w="9108" w:type="dxa"/>
            <w:gridSpan w:val="4"/>
            <w:shd w:val="pct25" w:color="auto" w:fill="auto"/>
          </w:tcPr>
          <w:p w:rsidR="00604A62" w:rsidRPr="00E207CB" w:rsidRDefault="00604A62" w:rsidP="00DC4E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Employment</w:t>
            </w:r>
          </w:p>
        </w:tc>
      </w:tr>
      <w:tr w:rsidR="00604A62" w:rsidRPr="00E207CB" w:rsidTr="00DC4ED1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332"/>
        </w:trPr>
        <w:tc>
          <w:tcPr>
            <w:tcW w:w="738" w:type="dxa"/>
            <w:shd w:val="clear" w:color="auto" w:fill="FFFFFF" w:themeFill="background1"/>
          </w:tcPr>
          <w:p w:rsidR="00604A62" w:rsidRPr="00E207CB" w:rsidRDefault="00604A62" w:rsidP="00DC4E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07CB"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2250" w:type="dxa"/>
            <w:shd w:val="clear" w:color="auto" w:fill="FFFFFF" w:themeFill="background1"/>
          </w:tcPr>
          <w:p w:rsidR="00604A62" w:rsidRPr="00E207CB" w:rsidRDefault="00604A62" w:rsidP="00DC4E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07CB">
              <w:rPr>
                <w:rFonts w:ascii="Times New Roman" w:hAnsi="Times New Roman" w:cs="Times New Roman"/>
                <w:b/>
              </w:rPr>
              <w:t>Degree</w:t>
            </w:r>
          </w:p>
        </w:tc>
        <w:tc>
          <w:tcPr>
            <w:tcW w:w="4140" w:type="dxa"/>
            <w:shd w:val="clear" w:color="auto" w:fill="FFFFFF" w:themeFill="background1"/>
          </w:tcPr>
          <w:p w:rsidR="00604A62" w:rsidRPr="00E207CB" w:rsidRDefault="00604A62" w:rsidP="00DC4E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07CB">
              <w:rPr>
                <w:rFonts w:ascii="Times New Roman" w:hAnsi="Times New Roman" w:cs="Times New Roman"/>
                <w:b/>
              </w:rPr>
              <w:t>Institution</w:t>
            </w:r>
          </w:p>
        </w:tc>
        <w:tc>
          <w:tcPr>
            <w:tcW w:w="1980" w:type="dxa"/>
            <w:shd w:val="clear" w:color="auto" w:fill="FFFFFF" w:themeFill="background1"/>
          </w:tcPr>
          <w:p w:rsidR="00604A62" w:rsidRPr="00E207CB" w:rsidRDefault="00604A62" w:rsidP="00DC4E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07CB">
              <w:rPr>
                <w:rFonts w:ascii="Times New Roman" w:hAnsi="Times New Roman" w:cs="Times New Roman"/>
                <w:b/>
              </w:rPr>
              <w:t>Year</w:t>
            </w:r>
          </w:p>
        </w:tc>
      </w:tr>
      <w:tr w:rsidR="005A0D12" w:rsidRPr="00E207CB" w:rsidTr="00DC4ED1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332"/>
        </w:trPr>
        <w:tc>
          <w:tcPr>
            <w:tcW w:w="738" w:type="dxa"/>
            <w:shd w:val="clear" w:color="auto" w:fill="FFFFFF" w:themeFill="background1"/>
          </w:tcPr>
          <w:p w:rsidR="005A0D12" w:rsidRPr="005A0D12" w:rsidRDefault="005A0D12" w:rsidP="005A0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0" w:type="dxa"/>
            <w:shd w:val="clear" w:color="auto" w:fill="FFFFFF" w:themeFill="background1"/>
          </w:tcPr>
          <w:p w:rsidR="005A0D12" w:rsidRPr="005A0D12" w:rsidRDefault="005A0D12" w:rsidP="00DC4ED1">
            <w:pPr>
              <w:jc w:val="both"/>
              <w:rPr>
                <w:rFonts w:ascii="Times New Roman" w:hAnsi="Times New Roman" w:cs="Times New Roman"/>
              </w:rPr>
            </w:pPr>
            <w:r w:rsidRPr="005A0D12">
              <w:rPr>
                <w:rFonts w:ascii="Times New Roman" w:hAnsi="Times New Roman" w:cs="Times New Roman"/>
              </w:rPr>
              <w:t>Economist</w:t>
            </w:r>
          </w:p>
        </w:tc>
        <w:tc>
          <w:tcPr>
            <w:tcW w:w="4140" w:type="dxa"/>
            <w:shd w:val="clear" w:color="auto" w:fill="FFFFFF" w:themeFill="background1"/>
          </w:tcPr>
          <w:p w:rsidR="005A0D12" w:rsidRPr="005A0D12" w:rsidRDefault="005A0D12" w:rsidP="00DC4ED1">
            <w:pPr>
              <w:jc w:val="both"/>
              <w:rPr>
                <w:rFonts w:ascii="Times New Roman" w:hAnsi="Times New Roman" w:cs="Times New Roman"/>
              </w:rPr>
            </w:pPr>
            <w:r w:rsidRPr="005A0D12">
              <w:rPr>
                <w:rFonts w:ascii="Times New Roman" w:hAnsi="Times New Roman" w:cs="Times New Roman"/>
              </w:rPr>
              <w:t>National Institute of Public Finance and Policy</w:t>
            </w:r>
          </w:p>
        </w:tc>
        <w:tc>
          <w:tcPr>
            <w:tcW w:w="1980" w:type="dxa"/>
            <w:shd w:val="clear" w:color="auto" w:fill="FFFFFF" w:themeFill="background1"/>
          </w:tcPr>
          <w:p w:rsidR="005A0D12" w:rsidRPr="005A0D12" w:rsidRDefault="005A0D12" w:rsidP="00DC4ED1">
            <w:pPr>
              <w:jc w:val="both"/>
              <w:rPr>
                <w:rFonts w:ascii="Times New Roman" w:hAnsi="Times New Roman" w:cs="Times New Roman"/>
              </w:rPr>
            </w:pPr>
            <w:r w:rsidRPr="005A0D12">
              <w:rPr>
                <w:rFonts w:ascii="Times New Roman" w:hAnsi="Times New Roman" w:cs="Times New Roman"/>
              </w:rPr>
              <w:t>May 2014- current</w:t>
            </w:r>
          </w:p>
        </w:tc>
      </w:tr>
      <w:tr w:rsidR="00604A62" w:rsidRPr="00E207CB" w:rsidTr="00DC4ED1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332"/>
        </w:trPr>
        <w:tc>
          <w:tcPr>
            <w:tcW w:w="738" w:type="dxa"/>
            <w:shd w:val="clear" w:color="auto" w:fill="FFFFFF" w:themeFill="background1"/>
          </w:tcPr>
          <w:p w:rsidR="00604A62" w:rsidRPr="00DD0D9B" w:rsidRDefault="005A0D12" w:rsidP="00DC4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04A62" w:rsidRPr="00DD0D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0" w:type="dxa"/>
            <w:shd w:val="clear" w:color="auto" w:fill="FFFFFF" w:themeFill="background1"/>
          </w:tcPr>
          <w:p w:rsidR="00604A62" w:rsidRPr="00DD0D9B" w:rsidRDefault="00604A62" w:rsidP="00DC4ED1">
            <w:pPr>
              <w:jc w:val="both"/>
              <w:rPr>
                <w:rFonts w:ascii="Times New Roman" w:hAnsi="Times New Roman" w:cs="Times New Roman"/>
              </w:rPr>
            </w:pPr>
            <w:r w:rsidRPr="00DD0D9B">
              <w:rPr>
                <w:rFonts w:ascii="Times New Roman" w:hAnsi="Times New Roman" w:cs="Times New Roman"/>
              </w:rPr>
              <w:t xml:space="preserve">Junior consultant </w:t>
            </w:r>
          </w:p>
        </w:tc>
        <w:tc>
          <w:tcPr>
            <w:tcW w:w="4140" w:type="dxa"/>
            <w:shd w:val="clear" w:color="auto" w:fill="FFFFFF" w:themeFill="background1"/>
          </w:tcPr>
          <w:p w:rsidR="00604A62" w:rsidRPr="00DD0D9B" w:rsidRDefault="00604A62" w:rsidP="00DC4ED1">
            <w:pPr>
              <w:jc w:val="both"/>
              <w:rPr>
                <w:rFonts w:ascii="Times New Roman" w:hAnsi="Times New Roman" w:cs="Times New Roman"/>
              </w:rPr>
            </w:pPr>
            <w:r w:rsidRPr="00DD0D9B">
              <w:rPr>
                <w:rFonts w:ascii="Times New Roman" w:hAnsi="Times New Roman" w:cs="Times New Roman"/>
              </w:rPr>
              <w:t>Reserve Bank of India Endowment Unit, at Institute of Economic Growth</w:t>
            </w:r>
          </w:p>
        </w:tc>
        <w:tc>
          <w:tcPr>
            <w:tcW w:w="1980" w:type="dxa"/>
            <w:shd w:val="clear" w:color="auto" w:fill="FFFFFF" w:themeFill="background1"/>
          </w:tcPr>
          <w:p w:rsidR="00604A62" w:rsidRPr="00DD0D9B" w:rsidRDefault="005A0D12" w:rsidP="00DC4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 2013 to April 2014</w:t>
            </w:r>
          </w:p>
        </w:tc>
      </w:tr>
      <w:tr w:rsidR="00604A62" w:rsidRPr="006433F5" w:rsidTr="00DC4ED1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665"/>
        </w:trPr>
        <w:tc>
          <w:tcPr>
            <w:tcW w:w="738" w:type="dxa"/>
          </w:tcPr>
          <w:p w:rsidR="00604A62" w:rsidRPr="00DD0D9B" w:rsidRDefault="005A0D12" w:rsidP="00DC4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0" w:type="dxa"/>
          </w:tcPr>
          <w:p w:rsidR="00604A62" w:rsidRPr="00DD0D9B" w:rsidRDefault="00604A62" w:rsidP="00DC4ED1">
            <w:pPr>
              <w:jc w:val="both"/>
              <w:rPr>
                <w:rFonts w:ascii="Times New Roman" w:hAnsi="Times New Roman" w:cs="Times New Roman"/>
              </w:rPr>
            </w:pPr>
            <w:r w:rsidRPr="00DD0D9B">
              <w:rPr>
                <w:rFonts w:ascii="Times New Roman" w:hAnsi="Times New Roman" w:cs="Times New Roman"/>
              </w:rPr>
              <w:t>Consulting Analyst</w:t>
            </w:r>
          </w:p>
        </w:tc>
        <w:tc>
          <w:tcPr>
            <w:tcW w:w="4140" w:type="dxa"/>
          </w:tcPr>
          <w:p w:rsidR="00604A62" w:rsidRPr="00DD0D9B" w:rsidRDefault="00604A62" w:rsidP="00DC4ED1">
            <w:pPr>
              <w:jc w:val="both"/>
              <w:rPr>
                <w:rFonts w:ascii="Times New Roman" w:hAnsi="Times New Roman" w:cs="Times New Roman"/>
              </w:rPr>
            </w:pPr>
            <w:r w:rsidRPr="00DD0D9B">
              <w:rPr>
                <w:rFonts w:ascii="Times New Roman" w:hAnsi="Times New Roman" w:cs="Times New Roman"/>
              </w:rPr>
              <w:t>Accenture Pvt Ltd</w:t>
            </w:r>
          </w:p>
        </w:tc>
        <w:tc>
          <w:tcPr>
            <w:tcW w:w="1980" w:type="dxa"/>
          </w:tcPr>
          <w:p w:rsidR="00604A62" w:rsidRPr="00DD0D9B" w:rsidRDefault="00604A62" w:rsidP="00DC4ED1">
            <w:pPr>
              <w:jc w:val="both"/>
              <w:rPr>
                <w:rFonts w:ascii="Times New Roman" w:hAnsi="Times New Roman" w:cs="Times New Roman"/>
              </w:rPr>
            </w:pPr>
            <w:r w:rsidRPr="00DD0D9B">
              <w:rPr>
                <w:rFonts w:ascii="Times New Roman" w:hAnsi="Times New Roman" w:cs="Times New Roman"/>
              </w:rPr>
              <w:t>Feb 2012 to Jan 2013</w:t>
            </w:r>
          </w:p>
        </w:tc>
      </w:tr>
    </w:tbl>
    <w:p w:rsidR="00604A62" w:rsidRPr="005C2D2D" w:rsidRDefault="00604A62" w:rsidP="00F82392">
      <w:pPr>
        <w:pStyle w:val="ListParagraph"/>
      </w:pPr>
    </w:p>
    <w:tbl>
      <w:tblPr>
        <w:tblStyle w:val="TableGrid"/>
        <w:tblW w:w="9108" w:type="dxa"/>
        <w:tblBorders>
          <w:insideH w:val="none" w:sz="0" w:space="0" w:color="auto"/>
          <w:insideV w:val="none" w:sz="0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738"/>
        <w:gridCol w:w="2250"/>
        <w:gridCol w:w="4140"/>
        <w:gridCol w:w="1980"/>
      </w:tblGrid>
      <w:tr w:rsidR="0085298A" w:rsidTr="00DC4ED1">
        <w:trPr>
          <w:trHeight w:val="330"/>
        </w:trPr>
        <w:tc>
          <w:tcPr>
            <w:tcW w:w="9108" w:type="dxa"/>
            <w:gridSpan w:val="4"/>
            <w:shd w:val="pct25" w:color="auto" w:fill="auto"/>
          </w:tcPr>
          <w:p w:rsidR="0085298A" w:rsidRPr="00E207CB" w:rsidRDefault="0085298A" w:rsidP="00DC4E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07CB">
              <w:rPr>
                <w:rFonts w:ascii="Times New Roman" w:hAnsi="Times New Roman" w:cs="Times New Roman"/>
                <w:b/>
              </w:rPr>
              <w:t>Academic Qualifications</w:t>
            </w:r>
          </w:p>
        </w:tc>
      </w:tr>
      <w:tr w:rsidR="0085298A" w:rsidRPr="00E207CB" w:rsidTr="00DC4ED1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332"/>
        </w:trPr>
        <w:tc>
          <w:tcPr>
            <w:tcW w:w="738" w:type="dxa"/>
            <w:shd w:val="clear" w:color="auto" w:fill="FFFFFF" w:themeFill="background1"/>
          </w:tcPr>
          <w:p w:rsidR="0085298A" w:rsidRPr="00E207CB" w:rsidRDefault="0085298A" w:rsidP="00DC4E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07CB"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2250" w:type="dxa"/>
            <w:shd w:val="clear" w:color="auto" w:fill="FFFFFF" w:themeFill="background1"/>
          </w:tcPr>
          <w:p w:rsidR="0085298A" w:rsidRPr="00E207CB" w:rsidRDefault="0085298A" w:rsidP="00DC4E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07CB">
              <w:rPr>
                <w:rFonts w:ascii="Times New Roman" w:hAnsi="Times New Roman" w:cs="Times New Roman"/>
                <w:b/>
              </w:rPr>
              <w:t>Degree</w:t>
            </w:r>
          </w:p>
        </w:tc>
        <w:tc>
          <w:tcPr>
            <w:tcW w:w="4140" w:type="dxa"/>
            <w:shd w:val="clear" w:color="auto" w:fill="FFFFFF" w:themeFill="background1"/>
          </w:tcPr>
          <w:p w:rsidR="0085298A" w:rsidRPr="00E207CB" w:rsidRDefault="0085298A" w:rsidP="00DC4E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07CB">
              <w:rPr>
                <w:rFonts w:ascii="Times New Roman" w:hAnsi="Times New Roman" w:cs="Times New Roman"/>
                <w:b/>
              </w:rPr>
              <w:t>Institution</w:t>
            </w:r>
          </w:p>
        </w:tc>
        <w:tc>
          <w:tcPr>
            <w:tcW w:w="1980" w:type="dxa"/>
            <w:shd w:val="clear" w:color="auto" w:fill="FFFFFF" w:themeFill="background1"/>
          </w:tcPr>
          <w:p w:rsidR="0085298A" w:rsidRPr="00E207CB" w:rsidRDefault="0085298A" w:rsidP="00DC4E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07CB">
              <w:rPr>
                <w:rFonts w:ascii="Times New Roman" w:hAnsi="Times New Roman" w:cs="Times New Roman"/>
                <w:b/>
              </w:rPr>
              <w:t>Year</w:t>
            </w:r>
          </w:p>
        </w:tc>
      </w:tr>
      <w:tr w:rsidR="0085298A" w:rsidRPr="00E207CB" w:rsidTr="00DC4ED1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332"/>
        </w:trPr>
        <w:tc>
          <w:tcPr>
            <w:tcW w:w="738" w:type="dxa"/>
            <w:shd w:val="clear" w:color="auto" w:fill="FFFFFF" w:themeFill="background1"/>
          </w:tcPr>
          <w:p w:rsidR="0085298A" w:rsidRPr="001430F5" w:rsidRDefault="0085298A" w:rsidP="00DC4ED1">
            <w:pPr>
              <w:jc w:val="both"/>
              <w:rPr>
                <w:rFonts w:ascii="Times New Roman" w:hAnsi="Times New Roman" w:cs="Times New Roman"/>
              </w:rPr>
            </w:pPr>
            <w:r w:rsidRPr="001430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0" w:type="dxa"/>
            <w:shd w:val="clear" w:color="auto" w:fill="FFFFFF" w:themeFill="background1"/>
          </w:tcPr>
          <w:p w:rsidR="0085298A" w:rsidRPr="001430F5" w:rsidRDefault="0085298A" w:rsidP="00DC4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</w:t>
            </w:r>
            <w:r w:rsidRPr="001430F5">
              <w:rPr>
                <w:rFonts w:ascii="Times New Roman" w:hAnsi="Times New Roman" w:cs="Times New Roman"/>
              </w:rPr>
              <w:t>.D Economics</w:t>
            </w:r>
          </w:p>
        </w:tc>
        <w:tc>
          <w:tcPr>
            <w:tcW w:w="4140" w:type="dxa"/>
            <w:shd w:val="clear" w:color="auto" w:fill="FFFFFF" w:themeFill="background1"/>
          </w:tcPr>
          <w:p w:rsidR="0085298A" w:rsidRPr="001430F5" w:rsidRDefault="0085298A" w:rsidP="00DC4ED1">
            <w:pPr>
              <w:jc w:val="both"/>
              <w:rPr>
                <w:rFonts w:ascii="Times New Roman" w:hAnsi="Times New Roman" w:cs="Times New Roman"/>
              </w:rPr>
            </w:pPr>
            <w:r w:rsidRPr="001430F5">
              <w:rPr>
                <w:rFonts w:ascii="Times New Roman" w:hAnsi="Times New Roman" w:cs="Times New Roman"/>
              </w:rPr>
              <w:t>Indira Gandhi Institute of Development Research</w:t>
            </w:r>
          </w:p>
        </w:tc>
        <w:tc>
          <w:tcPr>
            <w:tcW w:w="1980" w:type="dxa"/>
            <w:shd w:val="clear" w:color="auto" w:fill="FFFFFF" w:themeFill="background1"/>
          </w:tcPr>
          <w:p w:rsidR="0085298A" w:rsidRPr="001430F5" w:rsidRDefault="0085298A" w:rsidP="00DC4ED1">
            <w:pPr>
              <w:jc w:val="both"/>
              <w:rPr>
                <w:rFonts w:ascii="Times New Roman" w:hAnsi="Times New Roman" w:cs="Times New Roman"/>
              </w:rPr>
            </w:pPr>
            <w:r w:rsidRPr="001430F5">
              <w:rPr>
                <w:rFonts w:ascii="Times New Roman" w:hAnsi="Times New Roman" w:cs="Times New Roman"/>
              </w:rPr>
              <w:t>2009-2013</w:t>
            </w:r>
          </w:p>
        </w:tc>
      </w:tr>
      <w:tr w:rsidR="0085298A" w:rsidRPr="00E207CB" w:rsidTr="00DC4ED1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332"/>
        </w:trPr>
        <w:tc>
          <w:tcPr>
            <w:tcW w:w="738" w:type="dxa"/>
            <w:shd w:val="clear" w:color="auto" w:fill="FFFFFF" w:themeFill="background1"/>
          </w:tcPr>
          <w:p w:rsidR="0085298A" w:rsidRDefault="0085298A" w:rsidP="00DC4ED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0" w:type="dxa"/>
            <w:gridSpan w:val="3"/>
            <w:shd w:val="clear" w:color="auto" w:fill="FFFFFF" w:themeFill="background1"/>
          </w:tcPr>
          <w:p w:rsidR="0085298A" w:rsidRPr="001430F5" w:rsidRDefault="0085298A" w:rsidP="00DC4ED1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430F5">
              <w:rPr>
                <w:rFonts w:ascii="Times New Roman" w:hAnsi="Times New Roman" w:cs="Times New Roman"/>
              </w:rPr>
              <w:t>Adviser: Dr. Ashima Goyal</w:t>
            </w:r>
          </w:p>
          <w:p w:rsidR="0085298A" w:rsidRPr="001430F5" w:rsidRDefault="0085298A" w:rsidP="00DC4ED1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85298A" w:rsidRPr="001430F5" w:rsidRDefault="0085298A" w:rsidP="00DC4ED1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430F5">
              <w:rPr>
                <w:rFonts w:ascii="Times New Roman" w:hAnsi="Times New Roman" w:cs="Times New Roman"/>
              </w:rPr>
              <w:t xml:space="preserve">Thesis Topic: Dynamics of oil prices in emerging market economies </w:t>
            </w:r>
          </w:p>
          <w:p w:rsidR="0085298A" w:rsidRPr="001430F5" w:rsidRDefault="0085298A" w:rsidP="00DC4ED1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85298A" w:rsidRPr="001430F5" w:rsidRDefault="0085298A" w:rsidP="00DC4ED1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430F5">
              <w:rPr>
                <w:rFonts w:ascii="Times New Roman" w:hAnsi="Times New Roman" w:cs="Times New Roman"/>
              </w:rPr>
              <w:t xml:space="preserve">Chapter 1 -Comparison of the effect of exogenous oil supply shocks on output and inflation in the emerging market economies </w:t>
            </w:r>
          </w:p>
          <w:p w:rsidR="0085298A" w:rsidRPr="001430F5" w:rsidRDefault="0085298A" w:rsidP="00DC4ED1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430F5">
              <w:rPr>
                <w:rFonts w:ascii="Times New Roman" w:hAnsi="Times New Roman" w:cs="Times New Roman"/>
              </w:rPr>
              <w:t>Chapter 2 - Impact of oil prices on Indian economy: A DSGE analysis</w:t>
            </w:r>
          </w:p>
          <w:p w:rsidR="0085298A" w:rsidRPr="001430F5" w:rsidRDefault="0085298A" w:rsidP="00DC4ED1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430F5">
              <w:rPr>
                <w:rFonts w:ascii="Times New Roman" w:hAnsi="Times New Roman" w:cs="Times New Roman"/>
              </w:rPr>
              <w:t xml:space="preserve">Chapter 3 - Price changes and supply shocks: An industry-level analysis </w:t>
            </w:r>
          </w:p>
          <w:p w:rsidR="0085298A" w:rsidRPr="00E207CB" w:rsidRDefault="0085298A" w:rsidP="00DC4ED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5298A" w:rsidRPr="006433F5" w:rsidTr="00DC4ED1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665"/>
        </w:trPr>
        <w:tc>
          <w:tcPr>
            <w:tcW w:w="738" w:type="dxa"/>
            <w:vMerge w:val="restart"/>
          </w:tcPr>
          <w:p w:rsidR="0085298A" w:rsidRPr="006433F5" w:rsidRDefault="0085298A" w:rsidP="00DC4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0" w:type="dxa"/>
          </w:tcPr>
          <w:p w:rsidR="0085298A" w:rsidRPr="006433F5" w:rsidRDefault="0085298A" w:rsidP="00DC4ED1">
            <w:pPr>
              <w:jc w:val="both"/>
              <w:rPr>
                <w:rFonts w:ascii="Times New Roman" w:hAnsi="Times New Roman" w:cs="Times New Roman"/>
              </w:rPr>
            </w:pPr>
            <w:r w:rsidRPr="006433F5">
              <w:rPr>
                <w:rFonts w:ascii="Times New Roman" w:hAnsi="Times New Roman" w:cs="Times New Roman"/>
              </w:rPr>
              <w:t>M.Sc. Economics</w:t>
            </w:r>
          </w:p>
        </w:tc>
        <w:tc>
          <w:tcPr>
            <w:tcW w:w="4140" w:type="dxa"/>
          </w:tcPr>
          <w:p w:rsidR="0085298A" w:rsidRPr="006433F5" w:rsidRDefault="0085298A" w:rsidP="00DC4ED1">
            <w:pPr>
              <w:jc w:val="both"/>
              <w:rPr>
                <w:rFonts w:ascii="Times New Roman" w:hAnsi="Times New Roman" w:cs="Times New Roman"/>
              </w:rPr>
            </w:pPr>
            <w:r w:rsidRPr="006433F5">
              <w:rPr>
                <w:rFonts w:ascii="Times New Roman" w:hAnsi="Times New Roman" w:cs="Times New Roman"/>
              </w:rPr>
              <w:t>Indira Gandhi Institute of Development Research</w:t>
            </w:r>
          </w:p>
        </w:tc>
        <w:tc>
          <w:tcPr>
            <w:tcW w:w="1980" w:type="dxa"/>
          </w:tcPr>
          <w:p w:rsidR="0085298A" w:rsidRPr="006433F5" w:rsidRDefault="0085298A" w:rsidP="00DC4ED1">
            <w:pPr>
              <w:jc w:val="both"/>
              <w:rPr>
                <w:rFonts w:ascii="Times New Roman" w:hAnsi="Times New Roman" w:cs="Times New Roman"/>
              </w:rPr>
            </w:pPr>
            <w:r w:rsidRPr="006433F5">
              <w:rPr>
                <w:rFonts w:ascii="Times New Roman" w:hAnsi="Times New Roman" w:cs="Times New Roman"/>
              </w:rPr>
              <w:t>2006-2008</w:t>
            </w:r>
          </w:p>
        </w:tc>
      </w:tr>
      <w:tr w:rsidR="0085298A" w:rsidRPr="006433F5" w:rsidTr="00DC4ED1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1385"/>
        </w:trPr>
        <w:tc>
          <w:tcPr>
            <w:tcW w:w="738" w:type="dxa"/>
            <w:vMerge/>
          </w:tcPr>
          <w:p w:rsidR="0085298A" w:rsidRPr="006433F5" w:rsidRDefault="0085298A" w:rsidP="00DC4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70" w:type="dxa"/>
            <w:gridSpan w:val="3"/>
          </w:tcPr>
          <w:p w:rsidR="0085298A" w:rsidRPr="004C7E76" w:rsidRDefault="0085298A" w:rsidP="00DC4ED1">
            <w:pPr>
              <w:jc w:val="both"/>
              <w:rPr>
                <w:rFonts w:ascii="Times New Roman" w:hAnsi="Times New Roman" w:cs="Times New Roman"/>
              </w:rPr>
            </w:pPr>
            <w:r w:rsidRPr="004C7E76">
              <w:rPr>
                <w:rFonts w:ascii="Times New Roman" w:hAnsi="Times New Roman" w:cs="Times New Roman"/>
              </w:rPr>
              <w:t>Modules:</w:t>
            </w:r>
          </w:p>
          <w:p w:rsidR="0085298A" w:rsidRPr="004C7E76" w:rsidRDefault="0085298A" w:rsidP="00DC4ED1">
            <w:pPr>
              <w:jc w:val="both"/>
              <w:rPr>
                <w:rFonts w:ascii="Times New Roman" w:hAnsi="Times New Roman" w:cs="Times New Roman"/>
              </w:rPr>
            </w:pPr>
            <w:r w:rsidRPr="004C7E76">
              <w:rPr>
                <w:rFonts w:ascii="Times New Roman" w:hAnsi="Times New Roman" w:cs="Times New Roman"/>
              </w:rPr>
              <w:t>Foundation and Advanced courses in Microeconomics, Macroeconomics and Econometrics,</w:t>
            </w:r>
          </w:p>
          <w:p w:rsidR="0085298A" w:rsidRPr="004C7E76" w:rsidRDefault="0085298A" w:rsidP="00DC4ED1">
            <w:pPr>
              <w:jc w:val="both"/>
              <w:rPr>
                <w:rFonts w:ascii="Times New Roman" w:hAnsi="Times New Roman" w:cs="Times New Roman"/>
              </w:rPr>
            </w:pPr>
            <w:r w:rsidRPr="004C7E76">
              <w:rPr>
                <w:rFonts w:ascii="Times New Roman" w:hAnsi="Times New Roman" w:cs="Times New Roman"/>
              </w:rPr>
              <w:t>Theory of Institutions, Public Economics, International  Trade, Development Economics,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7E76">
              <w:rPr>
                <w:rFonts w:ascii="Times New Roman" w:hAnsi="Times New Roman" w:cs="Times New Roman"/>
              </w:rPr>
              <w:t>International Economics and Finance, Applied General Equilibrium Models, Time Series Analysis, Mathematics (Including Differential Calculus, Probability and Statistics, Linear Algebra</w:t>
            </w:r>
            <w:r>
              <w:rPr>
                <w:rFonts w:ascii="Times New Roman" w:hAnsi="Times New Roman" w:cs="Times New Roman"/>
              </w:rPr>
              <w:t>, Dynamic Optimization, Constrained Optimization etc</w:t>
            </w:r>
            <w:r w:rsidRPr="004C7E76">
              <w:rPr>
                <w:rFonts w:ascii="Times New Roman" w:hAnsi="Times New Roman" w:cs="Times New Roman"/>
              </w:rPr>
              <w:t>)</w:t>
            </w:r>
          </w:p>
          <w:p w:rsidR="0085298A" w:rsidRPr="004C7E76" w:rsidRDefault="0085298A" w:rsidP="00DC4E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298A" w:rsidRPr="006433F5" w:rsidTr="00DC4ED1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665"/>
        </w:trPr>
        <w:tc>
          <w:tcPr>
            <w:tcW w:w="738" w:type="dxa"/>
            <w:vMerge w:val="restart"/>
          </w:tcPr>
          <w:p w:rsidR="0085298A" w:rsidRPr="006433F5" w:rsidRDefault="0085298A" w:rsidP="00DC4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0" w:type="dxa"/>
          </w:tcPr>
          <w:p w:rsidR="0085298A" w:rsidRPr="006433F5" w:rsidRDefault="0085298A" w:rsidP="00DC4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B.A</w:t>
            </w:r>
            <w:r w:rsidRPr="006433F5">
              <w:rPr>
                <w:rFonts w:ascii="Times New Roman" w:hAnsi="Times New Roman" w:cs="Times New Roman"/>
              </w:rPr>
              <w:t xml:space="preserve">. (Honors’) </w:t>
            </w:r>
            <w:r>
              <w:rPr>
                <w:rFonts w:ascii="Times New Roman" w:hAnsi="Times New Roman" w:cs="Times New Roman"/>
              </w:rPr>
              <w:t>Economics</w:t>
            </w:r>
          </w:p>
        </w:tc>
        <w:tc>
          <w:tcPr>
            <w:tcW w:w="4140" w:type="dxa"/>
          </w:tcPr>
          <w:p w:rsidR="0085298A" w:rsidRPr="006433F5" w:rsidRDefault="0085298A" w:rsidP="00DC4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Indraprasth College</w:t>
            </w:r>
            <w:r w:rsidRPr="006433F5">
              <w:rPr>
                <w:rFonts w:ascii="Times New Roman" w:hAnsi="Times New Roman" w:cs="Times New Roman"/>
              </w:rPr>
              <w:t>, Delhi University</w:t>
            </w:r>
          </w:p>
        </w:tc>
        <w:tc>
          <w:tcPr>
            <w:tcW w:w="1980" w:type="dxa"/>
          </w:tcPr>
          <w:p w:rsidR="0085298A" w:rsidRPr="006433F5" w:rsidRDefault="0085298A" w:rsidP="00DC4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  <w:r w:rsidRPr="006433F5">
              <w:rPr>
                <w:rFonts w:ascii="Times New Roman" w:hAnsi="Times New Roman" w:cs="Times New Roman"/>
              </w:rPr>
              <w:t>-200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5298A" w:rsidRPr="006433F5" w:rsidTr="00DC4ED1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1475"/>
        </w:trPr>
        <w:tc>
          <w:tcPr>
            <w:tcW w:w="738" w:type="dxa"/>
            <w:vMerge/>
          </w:tcPr>
          <w:p w:rsidR="0085298A" w:rsidRPr="006433F5" w:rsidRDefault="0085298A" w:rsidP="00DC4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70" w:type="dxa"/>
            <w:gridSpan w:val="3"/>
          </w:tcPr>
          <w:p w:rsidR="0085298A" w:rsidRPr="004C7E76" w:rsidRDefault="0085298A" w:rsidP="00DC4ED1">
            <w:pPr>
              <w:jc w:val="both"/>
              <w:rPr>
                <w:rFonts w:ascii="Times New Roman" w:hAnsi="Times New Roman" w:cs="Times New Roman"/>
              </w:rPr>
            </w:pPr>
            <w:r w:rsidRPr="004C7E76">
              <w:rPr>
                <w:rFonts w:ascii="Times New Roman" w:hAnsi="Times New Roman" w:cs="Times New Roman"/>
              </w:rPr>
              <w:t>Modules:</w:t>
            </w:r>
          </w:p>
          <w:p w:rsidR="0085298A" w:rsidRPr="004C7E76" w:rsidRDefault="0085298A" w:rsidP="00DC4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Micro and Macro Economics, Public Finance, Mathematics, Statistics, National Income Accounting, Comparative Economic Development, Indian Economics, Economic History, Public Economics.  </w:t>
            </w:r>
          </w:p>
        </w:tc>
      </w:tr>
    </w:tbl>
    <w:p w:rsidR="0059545A" w:rsidRDefault="0059545A" w:rsidP="0059545A">
      <w:pPr>
        <w:pStyle w:val="NoSpacing"/>
        <w:ind w:firstLine="360"/>
      </w:pPr>
    </w:p>
    <w:p w:rsidR="00F82392" w:rsidRPr="00CD3F7B" w:rsidRDefault="00F82392" w:rsidP="00F82392">
      <w:pPr>
        <w:pStyle w:val="ListParagraph"/>
      </w:pPr>
    </w:p>
    <w:tbl>
      <w:tblPr>
        <w:tblStyle w:val="TableGrid"/>
        <w:tblW w:w="9108" w:type="dxa"/>
        <w:tblBorders>
          <w:insideH w:val="none" w:sz="0" w:space="0" w:color="auto"/>
          <w:insideV w:val="none" w:sz="0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561"/>
        <w:gridCol w:w="8547"/>
      </w:tblGrid>
      <w:tr w:rsidR="00604A62" w:rsidTr="00DC4ED1">
        <w:trPr>
          <w:trHeight w:val="330"/>
        </w:trPr>
        <w:tc>
          <w:tcPr>
            <w:tcW w:w="9108" w:type="dxa"/>
            <w:gridSpan w:val="2"/>
            <w:shd w:val="pct25" w:color="auto" w:fill="auto"/>
          </w:tcPr>
          <w:p w:rsidR="00604A62" w:rsidRPr="00E207CB" w:rsidRDefault="00604A62" w:rsidP="00DC4E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Publications</w:t>
            </w:r>
          </w:p>
        </w:tc>
      </w:tr>
      <w:tr w:rsidR="00BF36FD" w:rsidRPr="00E207CB" w:rsidTr="00604A62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953"/>
        </w:trPr>
        <w:tc>
          <w:tcPr>
            <w:tcW w:w="5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6FD" w:rsidRPr="00604A62" w:rsidRDefault="00BF36FD" w:rsidP="00DC4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8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F36FD" w:rsidRDefault="00BF36FD" w:rsidP="00BF3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Goyal, A. and Tripathi, S. 2015, “Stability and Transitions in Emerging Market Policy Rules” </w:t>
            </w:r>
            <w:r>
              <w:rPr>
                <w:rFonts w:ascii="Times New Roman" w:hAnsi="Times New Roman" w:cs="Times New Roman"/>
              </w:rPr>
              <w:t>(forthcoming)</w:t>
            </w:r>
            <w:r>
              <w:rPr>
                <w:rFonts w:ascii="Times New Roman" w:hAnsi="Times New Roman" w:cs="Times New Roman"/>
              </w:rPr>
              <w:t>, Indian Economic Review.</w:t>
            </w:r>
          </w:p>
        </w:tc>
      </w:tr>
      <w:tr w:rsidR="00604A62" w:rsidRPr="00E207CB" w:rsidTr="00604A62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953"/>
        </w:trPr>
        <w:tc>
          <w:tcPr>
            <w:tcW w:w="5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62" w:rsidRDefault="00BF36FD" w:rsidP="00DC4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04A62">
              <w:rPr>
                <w:rFonts w:ascii="Times New Roman" w:hAnsi="Times New Roman" w:cs="Times New Roman"/>
              </w:rPr>
              <w:t>.</w:t>
            </w:r>
          </w:p>
          <w:p w:rsidR="00BF36FD" w:rsidRPr="00604A62" w:rsidRDefault="00BF36FD" w:rsidP="00DC4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4A62" w:rsidRPr="00604A62" w:rsidRDefault="005A0D12" w:rsidP="00604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Goyal, A. and Tripathi, S.</w:t>
            </w:r>
            <w:r w:rsidRPr="00604A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2015. “</w:t>
            </w:r>
            <w:r w:rsidRPr="005A0D12">
              <w:rPr>
                <w:rFonts w:ascii="Times New Roman" w:hAnsi="Times New Roman" w:cs="Times New Roman"/>
              </w:rPr>
              <w:t>Separating shocks from cyclicality in Indian aggregate supply</w:t>
            </w:r>
            <w:r>
              <w:rPr>
                <w:rFonts w:ascii="Times New Roman" w:hAnsi="Times New Roman" w:cs="Times New Roman"/>
              </w:rPr>
              <w:t>”, Journal of Asian Economics, Volume 38, June 2015, page: 93-105.</w:t>
            </w:r>
          </w:p>
        </w:tc>
      </w:tr>
      <w:tr w:rsidR="005A0D12" w:rsidRPr="00E207CB" w:rsidTr="00604A62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953"/>
        </w:trPr>
        <w:tc>
          <w:tcPr>
            <w:tcW w:w="5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D12" w:rsidRPr="00604A62" w:rsidRDefault="00BF36FD" w:rsidP="00DC4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A0D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0D12" w:rsidRPr="00604A62" w:rsidRDefault="005A0D12" w:rsidP="00604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Agrawal P, and Tripathi, S. 2015, “Energy Security for India”. </w:t>
            </w:r>
            <w:r w:rsidRPr="005A0D12">
              <w:rPr>
                <w:rFonts w:ascii="Times New Roman" w:hAnsi="Times New Roman" w:cs="Times New Roman"/>
              </w:rPr>
              <w:t>in (ed.) Agrawal, P., Reviving Economic Growth in India, Cambridge University Press</w:t>
            </w:r>
            <w:r>
              <w:rPr>
                <w:rFonts w:ascii="Times New Roman" w:hAnsi="Times New Roman" w:cs="Times New Roman"/>
              </w:rPr>
              <w:t>, chapter 9, page: 220-238</w:t>
            </w:r>
          </w:p>
        </w:tc>
      </w:tr>
      <w:tr w:rsidR="005A0D12" w:rsidRPr="00E207CB" w:rsidTr="00604A62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953"/>
        </w:trPr>
        <w:tc>
          <w:tcPr>
            <w:tcW w:w="5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D12" w:rsidRPr="00604A62" w:rsidRDefault="00BF36FD" w:rsidP="00DC4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0D12" w:rsidRPr="00604A62" w:rsidRDefault="005A0D12" w:rsidP="00604A62">
            <w:pPr>
              <w:rPr>
                <w:rFonts w:ascii="Times New Roman" w:hAnsi="Times New Roman" w:cs="Times New Roman"/>
              </w:rPr>
            </w:pPr>
            <w:r w:rsidRPr="00604A62">
              <w:rPr>
                <w:rFonts w:ascii="Times New Roman" w:hAnsi="Times New Roman" w:cs="Times New Roman"/>
              </w:rPr>
              <w:t xml:space="preserve">Tripathi, S and Goyal, A. </w:t>
            </w:r>
            <w:r w:rsidR="00BF36FD">
              <w:rPr>
                <w:rFonts w:ascii="Times New Roman" w:hAnsi="Times New Roman" w:cs="Times New Roman"/>
              </w:rPr>
              <w:t>2013, “</w:t>
            </w:r>
            <w:r w:rsidRPr="00604A62">
              <w:rPr>
                <w:rFonts w:ascii="Times New Roman" w:hAnsi="Times New Roman" w:cs="Times New Roman"/>
              </w:rPr>
              <w:t>Relative Prices, the Price Level and Inflation: Effects of A</w:t>
            </w:r>
            <w:r>
              <w:rPr>
                <w:rFonts w:ascii="Times New Roman" w:hAnsi="Times New Roman" w:cs="Times New Roman"/>
              </w:rPr>
              <w:t>symmetric and Sticky Adjustment”</w:t>
            </w:r>
            <w:r w:rsidRPr="00604A62">
              <w:rPr>
                <w:rFonts w:ascii="Times New Roman" w:hAnsi="Times New Roman" w:cs="Times New Roman"/>
              </w:rPr>
              <w:t xml:space="preserve"> Journal of applied Economics</w:t>
            </w:r>
            <w:r w:rsidR="00BF36FD">
              <w:rPr>
                <w:rFonts w:ascii="Times New Roman" w:hAnsi="Times New Roman" w:cs="Times New Roman"/>
              </w:rPr>
              <w:t xml:space="preserve"> Vol.12, No.2, pg: 110-115. </w:t>
            </w:r>
          </w:p>
        </w:tc>
      </w:tr>
      <w:tr w:rsidR="00604A62" w:rsidRPr="00E207CB" w:rsidTr="00604A62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382"/>
        </w:trPr>
        <w:tc>
          <w:tcPr>
            <w:tcW w:w="56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04A62" w:rsidRPr="00604A62" w:rsidRDefault="00BF36FD" w:rsidP="00DC4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04A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604A62" w:rsidRPr="00604A62" w:rsidRDefault="00604A62" w:rsidP="00DC4ED1">
            <w:pPr>
              <w:jc w:val="both"/>
              <w:rPr>
                <w:rFonts w:ascii="Times New Roman" w:hAnsi="Times New Roman" w:cs="Times New Roman"/>
              </w:rPr>
            </w:pPr>
            <w:r w:rsidRPr="00604A62">
              <w:rPr>
                <w:rFonts w:ascii="Times New Roman" w:hAnsi="Times New Roman" w:cs="Times New Roman"/>
              </w:rPr>
              <w:t xml:space="preserve">Goyal, A. and Tripathi, S. 2012. </w:t>
            </w:r>
            <w:r w:rsidR="006A7182">
              <w:rPr>
                <w:rFonts w:ascii="Times New Roman" w:hAnsi="Times New Roman" w:cs="Times New Roman"/>
              </w:rPr>
              <w:t>“</w:t>
            </w:r>
            <w:r w:rsidRPr="00604A62">
              <w:rPr>
                <w:rFonts w:ascii="Times New Roman" w:hAnsi="Times New Roman" w:cs="Times New Roman"/>
              </w:rPr>
              <w:t>Regulations and price discovery: oil spot and futures markets</w:t>
            </w:r>
            <w:r w:rsidR="006A7182">
              <w:rPr>
                <w:rFonts w:ascii="Times New Roman" w:hAnsi="Times New Roman" w:cs="Times New Roman"/>
              </w:rPr>
              <w:t>”</w:t>
            </w:r>
            <w:r w:rsidRPr="00604A62">
              <w:rPr>
                <w:rFonts w:ascii="Times New Roman" w:hAnsi="Times New Roman" w:cs="Times New Roman"/>
              </w:rPr>
              <w:t>, International Review of Applied Financial Issues and Economics. Volume 4, Issue 3 (September 2012).</w:t>
            </w:r>
          </w:p>
        </w:tc>
      </w:tr>
      <w:tr w:rsidR="00604A62" w:rsidRPr="00E207CB" w:rsidTr="00604A62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382"/>
        </w:trPr>
        <w:tc>
          <w:tcPr>
            <w:tcW w:w="56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04A62" w:rsidRPr="00604A62" w:rsidRDefault="00BF36FD" w:rsidP="00DC4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04A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604A62" w:rsidRPr="00604A62" w:rsidRDefault="00604A62" w:rsidP="00DC4ED1">
            <w:pPr>
              <w:jc w:val="both"/>
              <w:rPr>
                <w:rFonts w:ascii="Times New Roman" w:hAnsi="Times New Roman" w:cs="Times New Roman"/>
              </w:rPr>
            </w:pPr>
            <w:r w:rsidRPr="00604A62">
              <w:rPr>
                <w:rFonts w:ascii="Times New Roman" w:hAnsi="Times New Roman" w:cs="Times New Roman"/>
              </w:rPr>
              <w:t xml:space="preserve">Goyal, A. and Tripathi, S. </w:t>
            </w:r>
            <w:r w:rsidR="00BF36FD">
              <w:rPr>
                <w:rFonts w:ascii="Times New Roman" w:hAnsi="Times New Roman" w:cs="Times New Roman"/>
              </w:rPr>
              <w:t xml:space="preserve">2011, </w:t>
            </w:r>
            <w:r w:rsidR="006A7182">
              <w:rPr>
                <w:rFonts w:ascii="Times New Roman" w:hAnsi="Times New Roman" w:cs="Times New Roman"/>
              </w:rPr>
              <w:t>“</w:t>
            </w:r>
            <w:r w:rsidRPr="00604A62">
              <w:rPr>
                <w:rFonts w:ascii="Times New Roman" w:hAnsi="Times New Roman" w:cs="Times New Roman"/>
              </w:rPr>
              <w:t>New Keynesian Aggregate Supply in the Tropics: Food prices, wages and inflation</w:t>
            </w:r>
            <w:r w:rsidR="006A7182">
              <w:rPr>
                <w:rFonts w:ascii="Times New Roman" w:hAnsi="Times New Roman" w:cs="Times New Roman"/>
              </w:rPr>
              <w:t>”</w:t>
            </w:r>
            <w:r w:rsidRPr="00604A62">
              <w:rPr>
                <w:rFonts w:ascii="Times New Roman" w:hAnsi="Times New Roman" w:cs="Times New Roman"/>
              </w:rPr>
              <w:t>. International Journal of Mone</w:t>
            </w:r>
            <w:r w:rsidR="00BF36FD">
              <w:rPr>
                <w:rFonts w:ascii="Times New Roman" w:hAnsi="Times New Roman" w:cs="Times New Roman"/>
              </w:rPr>
              <w:t>tary Economics and Finance.</w:t>
            </w:r>
            <w:r w:rsidRPr="00604A62">
              <w:rPr>
                <w:rFonts w:ascii="Times New Roman" w:hAnsi="Times New Roman" w:cs="Times New Roman"/>
              </w:rPr>
              <w:t xml:space="preserve"> Vol.4, No.4, pg: 330-354.</w:t>
            </w:r>
          </w:p>
        </w:tc>
      </w:tr>
      <w:tr w:rsidR="00604A62" w:rsidRPr="00E207CB" w:rsidTr="00604A62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144"/>
        </w:trPr>
        <w:tc>
          <w:tcPr>
            <w:tcW w:w="56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62" w:rsidRPr="00DD0D9B" w:rsidRDefault="00604A62" w:rsidP="00DC4ED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4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4A62" w:rsidRPr="00604A62" w:rsidRDefault="00604A62" w:rsidP="00DC4E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04A62" w:rsidRPr="00E207CB" w:rsidTr="00604A62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144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62" w:rsidRPr="004F6BB5" w:rsidRDefault="00BF36FD" w:rsidP="00DC4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A0D12">
              <w:rPr>
                <w:rFonts w:ascii="Times New Roman" w:hAnsi="Times New Roman" w:cs="Times New Roman"/>
              </w:rPr>
              <w:t>.</w:t>
            </w:r>
          </w:p>
          <w:p w:rsidR="00604A62" w:rsidRPr="004F6BB5" w:rsidRDefault="00604A62" w:rsidP="00DC4ED1">
            <w:pPr>
              <w:jc w:val="both"/>
              <w:rPr>
                <w:rFonts w:ascii="Times New Roman" w:hAnsi="Times New Roman" w:cs="Times New Roman"/>
              </w:rPr>
            </w:pPr>
          </w:p>
          <w:p w:rsidR="00604A62" w:rsidRPr="004F6BB5" w:rsidRDefault="00604A62" w:rsidP="00604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4A62" w:rsidRPr="00604A62" w:rsidRDefault="00604A62" w:rsidP="00604A62">
            <w:pPr>
              <w:jc w:val="both"/>
              <w:rPr>
                <w:rFonts w:ascii="Times New Roman" w:hAnsi="Times New Roman" w:cs="Times New Roman"/>
              </w:rPr>
            </w:pPr>
            <w:r w:rsidRPr="00604A62">
              <w:rPr>
                <w:rFonts w:ascii="Times New Roman" w:hAnsi="Times New Roman" w:cs="Times New Roman"/>
              </w:rPr>
              <w:t xml:space="preserve">Tripathi, S and Gautam, V. </w:t>
            </w:r>
            <w:r w:rsidR="00BF36FD">
              <w:rPr>
                <w:rFonts w:ascii="Times New Roman" w:hAnsi="Times New Roman" w:cs="Times New Roman"/>
              </w:rPr>
              <w:t xml:space="preserve">2010, </w:t>
            </w:r>
            <w:r w:rsidR="006A7182">
              <w:rPr>
                <w:rFonts w:ascii="Times New Roman" w:hAnsi="Times New Roman" w:cs="Times New Roman"/>
              </w:rPr>
              <w:t>“</w:t>
            </w:r>
            <w:r w:rsidRPr="00604A62">
              <w:rPr>
                <w:rFonts w:ascii="Times New Roman" w:hAnsi="Times New Roman" w:cs="Times New Roman"/>
              </w:rPr>
              <w:t>Road Transport Infrastructure and Economic Growth</w:t>
            </w:r>
            <w:r w:rsidR="00C11FA9">
              <w:rPr>
                <w:rFonts w:ascii="Times New Roman" w:hAnsi="Times New Roman" w:cs="Times New Roman"/>
              </w:rPr>
              <w:t>”</w:t>
            </w:r>
            <w:r w:rsidRPr="00604A62">
              <w:rPr>
                <w:rFonts w:ascii="Times New Roman" w:hAnsi="Times New Roman" w:cs="Times New Roman"/>
              </w:rPr>
              <w:t xml:space="preserve">. Journal of Infrastructure </w:t>
            </w:r>
            <w:r w:rsidR="00BF36FD">
              <w:rPr>
                <w:rFonts w:ascii="Times New Roman" w:hAnsi="Times New Roman" w:cs="Times New Roman"/>
              </w:rPr>
              <w:t>Development. 2(2): 135-152</w:t>
            </w:r>
            <w:r w:rsidRPr="00604A62">
              <w:rPr>
                <w:rFonts w:ascii="Times New Roman" w:hAnsi="Times New Roman" w:cs="Times New Roman"/>
              </w:rPr>
              <w:t>.</w:t>
            </w:r>
          </w:p>
        </w:tc>
      </w:tr>
      <w:tr w:rsidR="00604A62" w:rsidRPr="00E207CB" w:rsidTr="00604A62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144"/>
        </w:trPr>
        <w:tc>
          <w:tcPr>
            <w:tcW w:w="5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4A62" w:rsidRPr="00604A62" w:rsidRDefault="00BF36FD" w:rsidP="00DC4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04A62" w:rsidRPr="00604A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04A62" w:rsidRPr="00604A62" w:rsidRDefault="00604A62" w:rsidP="00604A62">
            <w:pPr>
              <w:jc w:val="both"/>
              <w:rPr>
                <w:rFonts w:ascii="Times New Roman" w:hAnsi="Times New Roman" w:cs="Times New Roman"/>
              </w:rPr>
            </w:pPr>
            <w:r w:rsidRPr="00604A62">
              <w:rPr>
                <w:rFonts w:ascii="Times New Roman" w:hAnsi="Times New Roman" w:cs="Times New Roman"/>
              </w:rPr>
              <w:t xml:space="preserve">Goyal, A. and Tripathi, S. </w:t>
            </w:r>
            <w:r w:rsidR="00C11FA9">
              <w:rPr>
                <w:rFonts w:ascii="Times New Roman" w:hAnsi="Times New Roman" w:cs="Times New Roman"/>
              </w:rPr>
              <w:t>“</w:t>
            </w:r>
            <w:r w:rsidRPr="00604A62">
              <w:rPr>
                <w:rFonts w:ascii="Times New Roman" w:hAnsi="Times New Roman" w:cs="Times New Roman"/>
              </w:rPr>
              <w:t>Stability and Policy Rules in Emerging Markets", IGIDR</w:t>
            </w:r>
            <w:r w:rsidR="004F6BB5">
              <w:rPr>
                <w:rFonts w:ascii="Times New Roman" w:hAnsi="Times New Roman" w:cs="Times New Roman"/>
              </w:rPr>
              <w:t xml:space="preserve"> </w:t>
            </w:r>
            <w:r w:rsidRPr="00604A62">
              <w:rPr>
                <w:rFonts w:ascii="Times New Roman" w:hAnsi="Times New Roman" w:cs="Times New Roman"/>
              </w:rPr>
              <w:t>Working Paper WP-2012-004. 2012.</w:t>
            </w:r>
          </w:p>
        </w:tc>
      </w:tr>
    </w:tbl>
    <w:p w:rsidR="00604A62" w:rsidRDefault="00604A62" w:rsidP="0059545A">
      <w:pPr>
        <w:rPr>
          <w:b/>
          <w:u w:val="single"/>
        </w:rPr>
      </w:pPr>
    </w:p>
    <w:tbl>
      <w:tblPr>
        <w:tblStyle w:val="TableGrid"/>
        <w:tblW w:w="9108" w:type="dxa"/>
        <w:tblBorders>
          <w:insideH w:val="none" w:sz="0" w:space="0" w:color="auto"/>
          <w:insideV w:val="none" w:sz="0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468"/>
        <w:gridCol w:w="8640"/>
      </w:tblGrid>
      <w:tr w:rsidR="005A0D12" w:rsidTr="00C5171C">
        <w:trPr>
          <w:trHeight w:val="330"/>
        </w:trPr>
        <w:tc>
          <w:tcPr>
            <w:tcW w:w="9108" w:type="dxa"/>
            <w:gridSpan w:val="2"/>
            <w:shd w:val="pct25" w:color="auto" w:fill="auto"/>
          </w:tcPr>
          <w:p w:rsidR="005A0D12" w:rsidRPr="00E207CB" w:rsidRDefault="005A0D12" w:rsidP="00566D5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Professional </w:t>
            </w:r>
            <w:r w:rsidR="00566D59">
              <w:rPr>
                <w:rFonts w:ascii="Times New Roman" w:hAnsi="Times New Roman" w:cs="Times New Roman"/>
                <w:b/>
              </w:rPr>
              <w:t>Activities</w:t>
            </w:r>
          </w:p>
        </w:tc>
      </w:tr>
      <w:tr w:rsidR="005A0D12" w:rsidRPr="00E207CB" w:rsidTr="00566D59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638"/>
        </w:trPr>
        <w:tc>
          <w:tcPr>
            <w:tcW w:w="4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D12" w:rsidRPr="00604A62" w:rsidRDefault="005A0D12" w:rsidP="00C5171C">
            <w:pPr>
              <w:jc w:val="both"/>
              <w:rPr>
                <w:rFonts w:ascii="Times New Roman" w:hAnsi="Times New Roman" w:cs="Times New Roman"/>
              </w:rPr>
            </w:pPr>
            <w:r w:rsidRPr="00604A6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0D12" w:rsidRPr="00604A62" w:rsidRDefault="005A0D12" w:rsidP="00566D59">
            <w:pPr>
              <w:jc w:val="both"/>
              <w:rPr>
                <w:rFonts w:ascii="Times New Roman" w:hAnsi="Times New Roman" w:cs="Times New Roman"/>
              </w:rPr>
            </w:pPr>
            <w:r w:rsidRPr="00566D59">
              <w:rPr>
                <w:rFonts w:ascii="Times New Roman" w:hAnsi="Times New Roman" w:cs="Times New Roman"/>
              </w:rPr>
              <w:t>Part of three member team constituted for Comptroller and Auditor General Training and assistance programme</w:t>
            </w:r>
            <w:r w:rsidR="00566D59" w:rsidRPr="00566D59">
              <w:rPr>
                <w:rFonts w:ascii="Times New Roman" w:hAnsi="Times New Roman" w:cs="Times New Roman"/>
              </w:rPr>
              <w:t>, ongoing</w:t>
            </w:r>
            <w:r w:rsidR="00566D59">
              <w:rPr>
                <w:rFonts w:ascii="Times New Roman" w:hAnsi="Times New Roman" w:cs="Times New Roman"/>
              </w:rPr>
              <w:t>.</w:t>
            </w:r>
            <w:r w:rsidRPr="00566D59">
              <w:rPr>
                <w:rFonts w:ascii="Times New Roman" w:hAnsi="Times New Roman" w:cs="Times New Roman"/>
              </w:rPr>
              <w:t> </w:t>
            </w:r>
          </w:p>
        </w:tc>
      </w:tr>
      <w:tr w:rsidR="005A0D12" w:rsidRPr="00E207CB" w:rsidTr="00566D59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620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D12" w:rsidRPr="00604A62" w:rsidRDefault="005A0D12" w:rsidP="00C5171C">
            <w:pPr>
              <w:jc w:val="both"/>
              <w:rPr>
                <w:rFonts w:ascii="Times New Roman" w:hAnsi="Times New Roman" w:cs="Times New Roman"/>
              </w:rPr>
            </w:pPr>
            <w:r w:rsidRPr="00604A6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0D12" w:rsidRPr="00604A62" w:rsidRDefault="00566D59" w:rsidP="00C5171C">
            <w:pPr>
              <w:jc w:val="both"/>
              <w:rPr>
                <w:rFonts w:ascii="Times New Roman" w:hAnsi="Times New Roman" w:cs="Times New Roman"/>
              </w:rPr>
            </w:pPr>
            <w:r w:rsidRPr="00566D59">
              <w:rPr>
                <w:rFonts w:ascii="Times New Roman" w:hAnsi="Times New Roman" w:cs="Times New Roman"/>
              </w:rPr>
              <w:t>Reviewer, International Review of Applied Economics, Macroeconomics and Finance in Emerging Market Economies.</w:t>
            </w:r>
          </w:p>
        </w:tc>
      </w:tr>
      <w:tr w:rsidR="00566D59" w:rsidRPr="00E207CB" w:rsidTr="00566D59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620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D59" w:rsidRPr="00604A62" w:rsidRDefault="00566D59" w:rsidP="00C517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6D59" w:rsidRPr="00566D59" w:rsidRDefault="00566D59" w:rsidP="00C5171C">
            <w:pPr>
              <w:jc w:val="both"/>
              <w:rPr>
                <w:rFonts w:ascii="Times New Roman" w:hAnsi="Times New Roman" w:cs="Times New Roman"/>
              </w:rPr>
            </w:pPr>
            <w:r w:rsidRPr="00566D59">
              <w:rPr>
                <w:rFonts w:ascii="Times New Roman" w:hAnsi="Times New Roman" w:cs="Times New Roman"/>
              </w:rPr>
              <w:t>Programme Coordinator for Training programme for the IA&amp;AS officer trainees (2014) batch and officers from Royal Audit Authority, Bhutan, 2015</w:t>
            </w:r>
          </w:p>
        </w:tc>
      </w:tr>
    </w:tbl>
    <w:p w:rsidR="005A0D12" w:rsidRDefault="005A0D12" w:rsidP="0059545A">
      <w:pPr>
        <w:rPr>
          <w:b/>
          <w:u w:val="single"/>
        </w:rPr>
      </w:pPr>
    </w:p>
    <w:p w:rsidR="00F82392" w:rsidRDefault="00F82392" w:rsidP="00F82392">
      <w:pPr>
        <w:pStyle w:val="ListParagraph"/>
      </w:pPr>
    </w:p>
    <w:p w:rsidR="00566D59" w:rsidRDefault="00566D59" w:rsidP="00F82392">
      <w:pPr>
        <w:pStyle w:val="ListParagraph"/>
      </w:pPr>
    </w:p>
    <w:tbl>
      <w:tblPr>
        <w:tblStyle w:val="TableGrid"/>
        <w:tblW w:w="9108" w:type="dxa"/>
        <w:tblBorders>
          <w:insideH w:val="none" w:sz="0" w:space="0" w:color="auto"/>
          <w:insideV w:val="none" w:sz="0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468"/>
        <w:gridCol w:w="8640"/>
      </w:tblGrid>
      <w:tr w:rsidR="004F6BB5" w:rsidTr="00DC4ED1">
        <w:trPr>
          <w:trHeight w:val="330"/>
        </w:trPr>
        <w:tc>
          <w:tcPr>
            <w:tcW w:w="9108" w:type="dxa"/>
            <w:gridSpan w:val="2"/>
            <w:shd w:val="pct25" w:color="auto" w:fill="auto"/>
          </w:tcPr>
          <w:p w:rsidR="004F6BB5" w:rsidRPr="00E207CB" w:rsidRDefault="00CC7954" w:rsidP="00DC4E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Workshop &amp; </w:t>
            </w:r>
            <w:r w:rsidR="004F6BB5">
              <w:rPr>
                <w:rFonts w:ascii="Times New Roman" w:hAnsi="Times New Roman" w:cs="Times New Roman"/>
                <w:b/>
              </w:rPr>
              <w:t>Conferences</w:t>
            </w:r>
          </w:p>
        </w:tc>
      </w:tr>
      <w:tr w:rsidR="004F6BB5" w:rsidRPr="00E207CB" w:rsidTr="00CC7954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638"/>
        </w:trPr>
        <w:tc>
          <w:tcPr>
            <w:tcW w:w="4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6BB5" w:rsidRPr="00604A62" w:rsidRDefault="004F6BB5" w:rsidP="00DC4ED1">
            <w:pPr>
              <w:jc w:val="both"/>
              <w:rPr>
                <w:rFonts w:ascii="Times New Roman" w:hAnsi="Times New Roman" w:cs="Times New Roman"/>
              </w:rPr>
            </w:pPr>
            <w:r w:rsidRPr="00604A6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6BB5" w:rsidRPr="00604A62" w:rsidRDefault="00CC7954" w:rsidP="00DC4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Participated in Summer school on DSGE modeling at School of Economics, University of Surrey, Surrey, UK</w:t>
            </w:r>
            <w:r w:rsidR="00BF36FD">
              <w:rPr>
                <w:rFonts w:ascii="Times New Roman" w:hAnsi="Times New Roman" w:cs="Times New Roman"/>
              </w:rPr>
              <w:t>, 2014.</w:t>
            </w:r>
            <w:bookmarkStart w:id="0" w:name="_GoBack"/>
            <w:bookmarkEnd w:id="0"/>
          </w:p>
        </w:tc>
      </w:tr>
      <w:tr w:rsidR="00CC7954" w:rsidRPr="00E207CB" w:rsidTr="00CC7954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620"/>
        </w:trPr>
        <w:tc>
          <w:tcPr>
            <w:tcW w:w="4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954" w:rsidRPr="00604A62" w:rsidRDefault="00CC7954" w:rsidP="00DC4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7954" w:rsidRPr="004F6BB5" w:rsidRDefault="00CC7954" w:rsidP="00DC4ED1">
            <w:pPr>
              <w:rPr>
                <w:rFonts w:ascii="Times New Roman" w:hAnsi="Times New Roman" w:cs="Times New Roman"/>
              </w:rPr>
            </w:pPr>
            <w:r w:rsidRPr="004F6BB5">
              <w:rPr>
                <w:rFonts w:ascii="Times New Roman" w:hAnsi="Times New Roman" w:cs="Times New Roman"/>
              </w:rPr>
              <w:t>Presented “Understanding the Macro Economic Effects of Oil Price Shocks: A DSGE Framework”, DSE Winter School 2013, Delhi, 2013.</w:t>
            </w:r>
          </w:p>
        </w:tc>
      </w:tr>
      <w:tr w:rsidR="004F6BB5" w:rsidRPr="00E207CB" w:rsidTr="00CC7954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620"/>
        </w:trPr>
        <w:tc>
          <w:tcPr>
            <w:tcW w:w="46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F6BB5" w:rsidRPr="00604A62" w:rsidRDefault="00CC7954" w:rsidP="00DC4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F6B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4F6BB5" w:rsidRPr="00604A62" w:rsidRDefault="004F6BB5" w:rsidP="00DC4ED1">
            <w:pPr>
              <w:jc w:val="both"/>
              <w:rPr>
                <w:rFonts w:ascii="Times New Roman" w:hAnsi="Times New Roman" w:cs="Times New Roman"/>
              </w:rPr>
            </w:pPr>
            <w:r w:rsidRPr="004F6BB5">
              <w:rPr>
                <w:rFonts w:ascii="Times New Roman" w:hAnsi="Times New Roman" w:cs="Times New Roman"/>
              </w:rPr>
              <w:t>Presented “Separating Shocks from Cyclicality in Indian Aggregate Supply”, AIEFS Biennial Meeting of 2013, Mumbai, 2013</w:t>
            </w:r>
          </w:p>
        </w:tc>
      </w:tr>
      <w:tr w:rsidR="004F6BB5" w:rsidRPr="00E207CB" w:rsidTr="00CC7954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647"/>
        </w:trPr>
        <w:tc>
          <w:tcPr>
            <w:tcW w:w="46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F6BB5" w:rsidRPr="00604A62" w:rsidRDefault="00CC7954" w:rsidP="00DC4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F6B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4F6BB5" w:rsidRPr="00604A62" w:rsidRDefault="004F6BB5" w:rsidP="00DC4ED1">
            <w:pPr>
              <w:jc w:val="both"/>
              <w:rPr>
                <w:rFonts w:ascii="Times New Roman" w:hAnsi="Times New Roman" w:cs="Times New Roman"/>
              </w:rPr>
            </w:pPr>
            <w:r w:rsidRPr="004F6BB5">
              <w:rPr>
                <w:rFonts w:ascii="Times New Roman" w:hAnsi="Times New Roman" w:cs="Times New Roman"/>
              </w:rPr>
              <w:t>Presented “Stability and Policy Rules in Emerging Markets”, Growth and Development Conference,ISI Delhi, 2012</w:t>
            </w:r>
          </w:p>
        </w:tc>
      </w:tr>
      <w:tr w:rsidR="004F6BB5" w:rsidRPr="00E207CB" w:rsidTr="004F6BB5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382"/>
        </w:trPr>
        <w:tc>
          <w:tcPr>
            <w:tcW w:w="46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F6BB5" w:rsidRDefault="00CC7954" w:rsidP="00DC4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F6B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4F6BB5" w:rsidRPr="004F6BB5" w:rsidRDefault="004F6BB5" w:rsidP="00DC4ED1">
            <w:pPr>
              <w:jc w:val="both"/>
              <w:rPr>
                <w:rFonts w:ascii="Times New Roman" w:hAnsi="Times New Roman" w:cs="Times New Roman"/>
              </w:rPr>
            </w:pPr>
            <w:r w:rsidRPr="004F6BB5">
              <w:rPr>
                <w:rFonts w:ascii="Times New Roman" w:hAnsi="Times New Roman" w:cs="Times New Roman"/>
              </w:rPr>
              <w:t>Presented “New Keynesian Aggregate Supply in the Tropics: Food prices, wages and inflation", Money and Finance Conference, IGIDR, 2011</w:t>
            </w:r>
          </w:p>
        </w:tc>
      </w:tr>
      <w:tr w:rsidR="004F6BB5" w:rsidRPr="00E207CB" w:rsidTr="00CC7954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180"/>
        </w:trPr>
        <w:tc>
          <w:tcPr>
            <w:tcW w:w="4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6BB5" w:rsidRPr="00DD0D9B" w:rsidRDefault="004F6BB5" w:rsidP="00DC4ED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6BB5" w:rsidRPr="00604A62" w:rsidRDefault="004F6BB5" w:rsidP="00DC4E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6BB5" w:rsidRPr="00E207CB" w:rsidTr="00CC7954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638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6BB5" w:rsidRDefault="004F6BB5" w:rsidP="00DC4ED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F6BB5" w:rsidRPr="004F6BB5" w:rsidRDefault="00CC7954" w:rsidP="00DC4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F6BB5" w:rsidRPr="004F6B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6BB5" w:rsidRPr="00604A62" w:rsidRDefault="004F6BB5" w:rsidP="00DC4ED1">
            <w:pPr>
              <w:jc w:val="both"/>
              <w:rPr>
                <w:rFonts w:ascii="Times New Roman" w:hAnsi="Times New Roman" w:cs="Times New Roman"/>
              </w:rPr>
            </w:pPr>
            <w:r w:rsidRPr="004F6BB5">
              <w:rPr>
                <w:rFonts w:ascii="Times New Roman" w:hAnsi="Times New Roman" w:cs="Times New Roman"/>
              </w:rPr>
              <w:t>Paper Presentation, “Public Infrastructure investment and economic growth in India", International Conference on Infrastructure Finance, IIT KGP, 2010</w:t>
            </w:r>
          </w:p>
        </w:tc>
      </w:tr>
    </w:tbl>
    <w:p w:rsidR="00F82392" w:rsidRDefault="00F82392" w:rsidP="00F82392"/>
    <w:p w:rsidR="00AE5F64" w:rsidRDefault="00AE5F64" w:rsidP="00E65E3D"/>
    <w:sectPr w:rsidR="00AE5F64" w:rsidSect="000B3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35DB7"/>
    <w:multiLevelType w:val="hybridMultilevel"/>
    <w:tmpl w:val="ED3A4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74D3A"/>
    <w:multiLevelType w:val="hybridMultilevel"/>
    <w:tmpl w:val="20582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C7DE5"/>
    <w:multiLevelType w:val="hybridMultilevel"/>
    <w:tmpl w:val="13AE4F08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" w15:restartNumberingAfterBreak="0">
    <w:nsid w:val="70E66F34"/>
    <w:multiLevelType w:val="hybridMultilevel"/>
    <w:tmpl w:val="8B54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32871"/>
    <w:multiLevelType w:val="hybridMultilevel"/>
    <w:tmpl w:val="87600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A7463"/>
    <w:multiLevelType w:val="hybridMultilevel"/>
    <w:tmpl w:val="8996D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500F1"/>
    <w:multiLevelType w:val="hybridMultilevel"/>
    <w:tmpl w:val="55CA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5A"/>
    <w:rsid w:val="00093E38"/>
    <w:rsid w:val="000968AF"/>
    <w:rsid w:val="000B3D28"/>
    <w:rsid w:val="001647B9"/>
    <w:rsid w:val="00174EBE"/>
    <w:rsid w:val="001A3CD2"/>
    <w:rsid w:val="001D3673"/>
    <w:rsid w:val="00201EB8"/>
    <w:rsid w:val="00262FEC"/>
    <w:rsid w:val="0026690C"/>
    <w:rsid w:val="00372076"/>
    <w:rsid w:val="00415439"/>
    <w:rsid w:val="00482022"/>
    <w:rsid w:val="004F666F"/>
    <w:rsid w:val="004F6BB5"/>
    <w:rsid w:val="00565C8D"/>
    <w:rsid w:val="00566D59"/>
    <w:rsid w:val="00576CAA"/>
    <w:rsid w:val="0059545A"/>
    <w:rsid w:val="005A0D12"/>
    <w:rsid w:val="005A3714"/>
    <w:rsid w:val="005B3A83"/>
    <w:rsid w:val="005C2D2D"/>
    <w:rsid w:val="005D12CA"/>
    <w:rsid w:val="00604A62"/>
    <w:rsid w:val="00630C74"/>
    <w:rsid w:val="006A7182"/>
    <w:rsid w:val="006A768C"/>
    <w:rsid w:val="006E6C35"/>
    <w:rsid w:val="007E6D59"/>
    <w:rsid w:val="008372BB"/>
    <w:rsid w:val="00841F4C"/>
    <w:rsid w:val="0085298A"/>
    <w:rsid w:val="00871630"/>
    <w:rsid w:val="00896008"/>
    <w:rsid w:val="009068C1"/>
    <w:rsid w:val="00936E91"/>
    <w:rsid w:val="00963E8C"/>
    <w:rsid w:val="00A730B0"/>
    <w:rsid w:val="00AA3810"/>
    <w:rsid w:val="00AE5DB1"/>
    <w:rsid w:val="00AE5F64"/>
    <w:rsid w:val="00BB0CE8"/>
    <w:rsid w:val="00BD2D15"/>
    <w:rsid w:val="00BD3CCC"/>
    <w:rsid w:val="00BF36FD"/>
    <w:rsid w:val="00C11FA9"/>
    <w:rsid w:val="00CC7954"/>
    <w:rsid w:val="00CD3F7B"/>
    <w:rsid w:val="00D6568C"/>
    <w:rsid w:val="00D819EA"/>
    <w:rsid w:val="00DB480B"/>
    <w:rsid w:val="00E0737E"/>
    <w:rsid w:val="00E244E6"/>
    <w:rsid w:val="00E5456E"/>
    <w:rsid w:val="00E65E3D"/>
    <w:rsid w:val="00F13BB9"/>
    <w:rsid w:val="00F82392"/>
    <w:rsid w:val="00FE4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C7C936-E512-43A3-87F9-9702ADB9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4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545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9545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545A"/>
    <w:pPr>
      <w:ind w:left="720"/>
      <w:contextualSpacing/>
    </w:pPr>
  </w:style>
  <w:style w:type="table" w:styleId="TableGrid">
    <w:name w:val="Table Grid"/>
    <w:basedOn w:val="TableNormal"/>
    <w:uiPriority w:val="59"/>
    <w:rsid w:val="008529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5A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ieg</Company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ieg</dc:creator>
  <cp:lastModifiedBy>shruti tripathi</cp:lastModifiedBy>
  <cp:revision>5</cp:revision>
  <dcterms:created xsi:type="dcterms:W3CDTF">2015-10-29T09:59:00Z</dcterms:created>
  <dcterms:modified xsi:type="dcterms:W3CDTF">2015-12-08T11:09:00Z</dcterms:modified>
</cp:coreProperties>
</file>