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B11" w:rsidRPr="008A1AFF" w:rsidRDefault="006B2D7E" w:rsidP="00620211">
      <w:pPr>
        <w:spacing w:line="360" w:lineRule="auto"/>
        <w:rPr>
          <w:rFonts w:ascii="Garamond" w:hAnsi="Garamond" w:cs="Times New Roman"/>
          <w:b/>
          <w:color w:val="FFFFFF" w:themeColor="background1"/>
          <w:sz w:val="112"/>
          <w:szCs w:val="112"/>
        </w:rPr>
      </w:pPr>
      <w:r w:rsidRPr="008A1AFF">
        <w:rPr>
          <w:rFonts w:ascii="Garamond" w:hAnsi="Garamond" w:cs="Times New Roman"/>
          <w:b/>
          <w:color w:val="FFFFFF" w:themeColor="background1"/>
          <w:sz w:val="112"/>
          <w:szCs w:val="112"/>
        </w:rPr>
        <w:t>Call for Papers</w:t>
      </w:r>
    </w:p>
    <w:p w:rsidR="006B2D7E" w:rsidRPr="002E4592" w:rsidRDefault="006B2D7E" w:rsidP="008A1AFF">
      <w:pPr>
        <w:pStyle w:val="Title"/>
        <w:rPr>
          <w:rFonts w:ascii="Times New Roman" w:hAnsi="Times New Roman" w:cs="Times New Roman"/>
          <w:sz w:val="44"/>
          <w:szCs w:val="44"/>
        </w:rPr>
      </w:pPr>
      <w:r w:rsidRPr="002E4592">
        <w:rPr>
          <w:rFonts w:ascii="Times New Roman" w:hAnsi="Times New Roman" w:cs="Times New Roman"/>
          <w:sz w:val="44"/>
          <w:szCs w:val="44"/>
        </w:rPr>
        <w:t>Conference on Impact of GST on Indian Economy</w:t>
      </w:r>
    </w:p>
    <w:p w:rsidR="008A1AFF" w:rsidRDefault="008A1AFF" w:rsidP="00620211">
      <w:pPr>
        <w:rPr>
          <w:rFonts w:ascii="Times New Roman" w:hAnsi="Times New Roman" w:cs="Times New Roman"/>
          <w:b/>
          <w:sz w:val="24"/>
        </w:rPr>
      </w:pPr>
    </w:p>
    <w:p w:rsidR="006B2D7E" w:rsidRPr="008A1AFF" w:rsidRDefault="006B2D7E" w:rsidP="008A1AFF">
      <w:pPr>
        <w:pStyle w:val="NoSpacing"/>
        <w:rPr>
          <w:rFonts w:ascii="Times New Roman" w:hAnsi="Times New Roman" w:cs="Times New Roman"/>
          <w:b/>
          <w:bCs/>
          <w:color w:val="0F4176"/>
          <w:sz w:val="28"/>
          <w:szCs w:val="28"/>
        </w:rPr>
      </w:pPr>
      <w:r w:rsidRPr="008A1AFF">
        <w:rPr>
          <w:rFonts w:ascii="Times New Roman" w:hAnsi="Times New Roman" w:cs="Times New Roman"/>
          <w:b/>
          <w:bCs/>
          <w:color w:val="0F4176"/>
          <w:sz w:val="28"/>
          <w:szCs w:val="28"/>
        </w:rPr>
        <w:t>National Institute of Public Finance and Policy (NIPFP), 18/2, Satsang Vihar Marg, Special Institutional Area, New Delhi – 110 067</w:t>
      </w:r>
    </w:p>
    <w:p w:rsidR="008A1AFF" w:rsidRPr="008A1AFF" w:rsidRDefault="008A1AFF" w:rsidP="008A1AFF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B2D7E" w:rsidRPr="008A1AFF" w:rsidRDefault="006B2D7E" w:rsidP="008A1AFF">
      <w:pPr>
        <w:jc w:val="both"/>
        <w:rPr>
          <w:rFonts w:ascii="Times New Roman" w:hAnsi="Times New Roman" w:cs="Times New Roman"/>
          <w:sz w:val="23"/>
          <w:szCs w:val="23"/>
        </w:rPr>
      </w:pPr>
      <w:r w:rsidRPr="008A1AFF">
        <w:rPr>
          <w:rFonts w:ascii="Times New Roman" w:hAnsi="Times New Roman" w:cs="Times New Roman"/>
          <w:sz w:val="23"/>
          <w:szCs w:val="23"/>
        </w:rPr>
        <w:t xml:space="preserve">The National Institute of Public Finance and Policy (NIPFP) invites submissions of papers for the Conference on </w:t>
      </w:r>
      <w:r w:rsidRPr="007D731A">
        <w:rPr>
          <w:rFonts w:ascii="Times New Roman" w:hAnsi="Times New Roman" w:cs="Times New Roman"/>
          <w:b/>
          <w:sz w:val="23"/>
          <w:szCs w:val="23"/>
        </w:rPr>
        <w:t>Impact of GST on Indian Economy</w:t>
      </w:r>
      <w:r w:rsidRPr="008A1AFF">
        <w:rPr>
          <w:rFonts w:ascii="Times New Roman" w:hAnsi="Times New Roman" w:cs="Times New Roman"/>
          <w:sz w:val="23"/>
          <w:szCs w:val="23"/>
        </w:rPr>
        <w:t xml:space="preserve"> on </w:t>
      </w:r>
      <w:r w:rsidR="00702C38" w:rsidRPr="007D731A">
        <w:rPr>
          <w:rFonts w:ascii="Times New Roman" w:hAnsi="Times New Roman" w:cs="Times New Roman"/>
          <w:b/>
          <w:sz w:val="23"/>
          <w:szCs w:val="23"/>
        </w:rPr>
        <w:t xml:space="preserve">28-29 November </w:t>
      </w:r>
      <w:r w:rsidRPr="007D731A">
        <w:rPr>
          <w:rFonts w:ascii="Times New Roman" w:hAnsi="Times New Roman" w:cs="Times New Roman"/>
          <w:b/>
          <w:sz w:val="23"/>
          <w:szCs w:val="23"/>
        </w:rPr>
        <w:t>2022</w:t>
      </w:r>
      <w:r w:rsidRPr="008A1AFF">
        <w:rPr>
          <w:rFonts w:ascii="Times New Roman" w:hAnsi="Times New Roman" w:cs="Times New Roman"/>
          <w:sz w:val="23"/>
          <w:szCs w:val="23"/>
        </w:rPr>
        <w:t>. The objective of the Conference is to bring together scholars</w:t>
      </w:r>
      <w:r w:rsidR="00702C38" w:rsidRPr="008A1AFF">
        <w:rPr>
          <w:rFonts w:ascii="Times New Roman" w:hAnsi="Times New Roman" w:cs="Times New Roman"/>
          <w:sz w:val="23"/>
          <w:szCs w:val="23"/>
        </w:rPr>
        <w:t xml:space="preserve">, policy </w:t>
      </w:r>
      <w:r w:rsidR="00B16773" w:rsidRPr="008A1AFF">
        <w:rPr>
          <w:rFonts w:ascii="Times New Roman" w:hAnsi="Times New Roman" w:cs="Times New Roman"/>
          <w:sz w:val="23"/>
          <w:szCs w:val="23"/>
        </w:rPr>
        <w:t xml:space="preserve">practitioners </w:t>
      </w:r>
      <w:r w:rsidR="00702C38" w:rsidRPr="008A1AFF">
        <w:rPr>
          <w:rFonts w:ascii="Times New Roman" w:hAnsi="Times New Roman" w:cs="Times New Roman"/>
          <w:sz w:val="23"/>
          <w:szCs w:val="23"/>
        </w:rPr>
        <w:t xml:space="preserve">and tax officials </w:t>
      </w:r>
      <w:r w:rsidRPr="008A1AFF">
        <w:rPr>
          <w:rFonts w:ascii="Times New Roman" w:hAnsi="Times New Roman" w:cs="Times New Roman"/>
          <w:sz w:val="23"/>
          <w:szCs w:val="23"/>
        </w:rPr>
        <w:t>engaged in research and administration of Goods and Services Tax (GST) in India.</w:t>
      </w:r>
      <w:r w:rsidR="00666B25" w:rsidRPr="008A1AFF">
        <w:rPr>
          <w:rFonts w:ascii="Times New Roman" w:hAnsi="Times New Roman" w:cs="Times New Roman"/>
          <w:sz w:val="23"/>
          <w:szCs w:val="23"/>
        </w:rPr>
        <w:t xml:space="preserve"> </w:t>
      </w:r>
      <w:r w:rsidR="00702C38" w:rsidRPr="008A1AFF">
        <w:rPr>
          <w:rFonts w:ascii="Times New Roman" w:hAnsi="Times New Roman" w:cs="Times New Roman"/>
          <w:sz w:val="23"/>
          <w:szCs w:val="23"/>
        </w:rPr>
        <w:t>Empirical p</w:t>
      </w:r>
      <w:r w:rsidR="00666B25" w:rsidRPr="008A1AFF">
        <w:rPr>
          <w:rFonts w:ascii="Times New Roman" w:hAnsi="Times New Roman" w:cs="Times New Roman"/>
          <w:sz w:val="23"/>
          <w:szCs w:val="23"/>
        </w:rPr>
        <w:t xml:space="preserve">apers focusing on </w:t>
      </w:r>
      <w:r w:rsidR="00702C38" w:rsidRPr="008A1AFF">
        <w:rPr>
          <w:rFonts w:ascii="Times New Roman" w:hAnsi="Times New Roman" w:cs="Times New Roman"/>
          <w:sz w:val="23"/>
          <w:szCs w:val="23"/>
        </w:rPr>
        <w:t xml:space="preserve">economy-wide as well as </w:t>
      </w:r>
      <w:r w:rsidR="00666B25" w:rsidRPr="008A1AFF">
        <w:rPr>
          <w:rFonts w:ascii="Times New Roman" w:hAnsi="Times New Roman" w:cs="Times New Roman"/>
          <w:sz w:val="23"/>
          <w:szCs w:val="23"/>
        </w:rPr>
        <w:t xml:space="preserve">sectoral </w:t>
      </w:r>
      <w:r w:rsidR="0088723F" w:rsidRPr="008A1AFF">
        <w:rPr>
          <w:rFonts w:ascii="Times New Roman" w:hAnsi="Times New Roman" w:cs="Times New Roman"/>
          <w:sz w:val="23"/>
          <w:szCs w:val="23"/>
        </w:rPr>
        <w:t>effect</w:t>
      </w:r>
      <w:r w:rsidR="00666B25" w:rsidRPr="008A1AFF">
        <w:rPr>
          <w:rFonts w:ascii="Times New Roman" w:hAnsi="Times New Roman" w:cs="Times New Roman"/>
          <w:sz w:val="23"/>
          <w:szCs w:val="23"/>
        </w:rPr>
        <w:t xml:space="preserve">s of GST on </w:t>
      </w:r>
      <w:r w:rsidR="00CD55BA" w:rsidRPr="008A1AFF">
        <w:rPr>
          <w:rFonts w:ascii="Times New Roman" w:hAnsi="Times New Roman" w:cs="Times New Roman"/>
          <w:sz w:val="23"/>
          <w:szCs w:val="23"/>
        </w:rPr>
        <w:t xml:space="preserve">national or </w:t>
      </w:r>
      <w:r w:rsidR="00666B25" w:rsidRPr="008A1AFF">
        <w:rPr>
          <w:rFonts w:ascii="Times New Roman" w:hAnsi="Times New Roman" w:cs="Times New Roman"/>
          <w:sz w:val="23"/>
          <w:szCs w:val="23"/>
        </w:rPr>
        <w:t>subnational economy are</w:t>
      </w:r>
      <w:r w:rsidR="00B16773" w:rsidRPr="008A1AFF">
        <w:rPr>
          <w:rFonts w:ascii="Times New Roman" w:hAnsi="Times New Roman" w:cs="Times New Roman"/>
          <w:sz w:val="23"/>
          <w:szCs w:val="23"/>
        </w:rPr>
        <w:t xml:space="preserve"> </w:t>
      </w:r>
      <w:r w:rsidR="00666B25" w:rsidRPr="008A1AFF">
        <w:rPr>
          <w:rFonts w:ascii="Times New Roman" w:hAnsi="Times New Roman" w:cs="Times New Roman"/>
          <w:sz w:val="23"/>
          <w:szCs w:val="23"/>
        </w:rPr>
        <w:t>welcome.</w:t>
      </w:r>
      <w:r w:rsidR="003D3536" w:rsidRPr="008A1AFF">
        <w:rPr>
          <w:rFonts w:ascii="Times New Roman" w:hAnsi="Times New Roman" w:cs="Times New Roman"/>
          <w:sz w:val="23"/>
          <w:szCs w:val="23"/>
        </w:rPr>
        <w:t xml:space="preserve"> </w:t>
      </w:r>
      <w:r w:rsidR="00B16773" w:rsidRPr="008A1AFF">
        <w:rPr>
          <w:rFonts w:ascii="Times New Roman" w:hAnsi="Times New Roman" w:cs="Times New Roman"/>
          <w:sz w:val="23"/>
          <w:szCs w:val="23"/>
        </w:rPr>
        <w:t xml:space="preserve"> </w:t>
      </w:r>
    </w:p>
    <w:p w:rsidR="00FA715C" w:rsidRDefault="00E64642" w:rsidP="008A1AFF">
      <w:pPr>
        <w:jc w:val="both"/>
        <w:rPr>
          <w:rFonts w:ascii="Times New Roman" w:hAnsi="Times New Roman" w:cs="Times New Roman"/>
          <w:sz w:val="23"/>
          <w:szCs w:val="23"/>
        </w:rPr>
      </w:pPr>
      <w:r w:rsidRPr="008A1AFF">
        <w:rPr>
          <w:rFonts w:ascii="Times New Roman" w:hAnsi="Times New Roman" w:cs="Times New Roman"/>
          <w:sz w:val="23"/>
          <w:szCs w:val="23"/>
        </w:rPr>
        <w:t>Complete, unpublished papers</w:t>
      </w:r>
      <w:r w:rsidR="003D3536" w:rsidRPr="008A1AFF">
        <w:rPr>
          <w:rFonts w:ascii="Times New Roman" w:hAnsi="Times New Roman" w:cs="Times New Roman"/>
          <w:sz w:val="23"/>
          <w:szCs w:val="23"/>
        </w:rPr>
        <w:t xml:space="preserve"> (in PDF) </w:t>
      </w:r>
      <w:r w:rsidRPr="008A1AFF">
        <w:rPr>
          <w:rFonts w:ascii="Times New Roman" w:hAnsi="Times New Roman" w:cs="Times New Roman"/>
          <w:sz w:val="23"/>
          <w:szCs w:val="23"/>
        </w:rPr>
        <w:t xml:space="preserve">should be sent to </w:t>
      </w:r>
      <w:hyperlink r:id="rId6" w:history="1">
        <w:r w:rsidR="00666B25" w:rsidRPr="003A21BF">
          <w:rPr>
            <w:rStyle w:val="Hyperlink"/>
            <w:rFonts w:ascii="Times New Roman" w:hAnsi="Times New Roman" w:cs="Times New Roman"/>
            <w:b/>
            <w:color w:val="0070C0"/>
            <w:sz w:val="23"/>
            <w:szCs w:val="23"/>
            <w:u w:val="none"/>
          </w:rPr>
          <w:t>GST.Conference@nipfp.org.in</w:t>
        </w:r>
      </w:hyperlink>
      <w:r w:rsidRPr="008A1AFF">
        <w:rPr>
          <w:rFonts w:ascii="Times New Roman" w:hAnsi="Times New Roman" w:cs="Times New Roman"/>
          <w:sz w:val="23"/>
          <w:szCs w:val="23"/>
        </w:rPr>
        <w:t xml:space="preserve"> on or before October </w:t>
      </w:r>
      <w:r w:rsidR="00702C38" w:rsidRPr="008A1AFF">
        <w:rPr>
          <w:rFonts w:ascii="Times New Roman" w:hAnsi="Times New Roman" w:cs="Times New Roman"/>
          <w:sz w:val="23"/>
          <w:szCs w:val="23"/>
        </w:rPr>
        <w:t>1</w:t>
      </w:r>
      <w:r w:rsidR="003D3536" w:rsidRPr="008A1AFF">
        <w:rPr>
          <w:rFonts w:ascii="Times New Roman" w:hAnsi="Times New Roman" w:cs="Times New Roman"/>
          <w:sz w:val="23"/>
          <w:szCs w:val="23"/>
        </w:rPr>
        <w:t>7</w:t>
      </w:r>
      <w:r w:rsidRPr="008A1AFF">
        <w:rPr>
          <w:rFonts w:ascii="Times New Roman" w:hAnsi="Times New Roman" w:cs="Times New Roman"/>
          <w:sz w:val="23"/>
          <w:szCs w:val="23"/>
        </w:rPr>
        <w:t xml:space="preserve">, 2022. All submissions will be reviewed and the authors of accepted papers will be informed by </w:t>
      </w:r>
      <w:r w:rsidR="00702C38" w:rsidRPr="008A1AFF">
        <w:rPr>
          <w:rFonts w:ascii="Times New Roman" w:hAnsi="Times New Roman" w:cs="Times New Roman"/>
          <w:sz w:val="23"/>
          <w:szCs w:val="23"/>
        </w:rPr>
        <w:t xml:space="preserve">October </w:t>
      </w:r>
      <w:r w:rsidRPr="008A1AFF">
        <w:rPr>
          <w:rFonts w:ascii="Times New Roman" w:hAnsi="Times New Roman" w:cs="Times New Roman"/>
          <w:sz w:val="23"/>
          <w:szCs w:val="23"/>
        </w:rPr>
        <w:t>3</w:t>
      </w:r>
      <w:r w:rsidR="003D3536" w:rsidRPr="008A1AFF">
        <w:rPr>
          <w:rFonts w:ascii="Times New Roman" w:hAnsi="Times New Roman" w:cs="Times New Roman"/>
          <w:sz w:val="23"/>
          <w:szCs w:val="23"/>
        </w:rPr>
        <w:t>1</w:t>
      </w:r>
      <w:r w:rsidRPr="008A1AFF">
        <w:rPr>
          <w:rFonts w:ascii="Times New Roman" w:hAnsi="Times New Roman" w:cs="Times New Roman"/>
          <w:sz w:val="23"/>
          <w:szCs w:val="23"/>
        </w:rPr>
        <w:t xml:space="preserve">, 2022. One author of each accepted paper will be invited to present the paper at the Conference. </w:t>
      </w:r>
      <w:r w:rsidR="00666B25" w:rsidRPr="008A1AFF">
        <w:rPr>
          <w:rFonts w:ascii="Times New Roman" w:hAnsi="Times New Roman" w:cs="Times New Roman"/>
          <w:sz w:val="23"/>
          <w:szCs w:val="23"/>
        </w:rPr>
        <w:t>The Institute will bear the cost of travel (economy class) and local hospitality of the invited author.</w:t>
      </w:r>
    </w:p>
    <w:p w:rsidR="007D731A" w:rsidRPr="00427981" w:rsidRDefault="007D731A" w:rsidP="008A1AFF">
      <w:pPr>
        <w:jc w:val="both"/>
        <w:rPr>
          <w:rFonts w:ascii="Times New Roman" w:hAnsi="Times New Roman" w:cs="Times New Roman"/>
        </w:rPr>
      </w:pPr>
      <w:r w:rsidRPr="00427981">
        <w:rPr>
          <w:rFonts w:ascii="Times New Roman" w:hAnsi="Times New Roman" w:cs="Times New Roman"/>
          <w:b/>
          <w:bCs/>
          <w:color w:val="0F4176"/>
        </w:rPr>
        <w:t>There is no submission fee for the papers</w:t>
      </w:r>
      <w:r w:rsidRPr="00427981">
        <w:rPr>
          <w:rFonts w:ascii="Times New Roman" w:hAnsi="Times New Roman" w:cs="Times New Roman"/>
        </w:rPr>
        <w:t xml:space="preserve">. </w:t>
      </w:r>
    </w:p>
    <w:p w:rsidR="007D731A" w:rsidRPr="00427981" w:rsidRDefault="007D731A" w:rsidP="003A21BF">
      <w:pPr>
        <w:pStyle w:val="Heading2"/>
        <w:tabs>
          <w:tab w:val="left" w:pos="7440"/>
        </w:tabs>
        <w:rPr>
          <w:rFonts w:ascii="Times New Roman" w:hAnsi="Times New Roman" w:cs="Times New Roman"/>
          <w:b/>
          <w:sz w:val="22"/>
          <w:szCs w:val="22"/>
        </w:rPr>
      </w:pPr>
      <w:r w:rsidRPr="00427981">
        <w:rPr>
          <w:rFonts w:ascii="Times New Roman" w:hAnsi="Times New Roman" w:cs="Times New Roman"/>
          <w:sz w:val="22"/>
          <w:szCs w:val="22"/>
        </w:rPr>
        <w:t xml:space="preserve">Deadline for Paper Submission: </w:t>
      </w:r>
      <w:r w:rsidRPr="00427981">
        <w:rPr>
          <w:rFonts w:ascii="Times New Roman" w:hAnsi="Times New Roman" w:cs="Times New Roman"/>
          <w:b/>
          <w:sz w:val="22"/>
          <w:szCs w:val="22"/>
        </w:rPr>
        <w:t>October 17, 2022</w:t>
      </w:r>
      <w:r w:rsidR="003A21BF">
        <w:rPr>
          <w:rFonts w:ascii="Times New Roman" w:hAnsi="Times New Roman" w:cs="Times New Roman"/>
          <w:b/>
          <w:sz w:val="22"/>
          <w:szCs w:val="22"/>
        </w:rPr>
        <w:tab/>
      </w:r>
      <w:bookmarkStart w:id="0" w:name="_GoBack"/>
      <w:bookmarkEnd w:id="0"/>
    </w:p>
    <w:p w:rsidR="007D731A" w:rsidRPr="00427981" w:rsidRDefault="007D731A" w:rsidP="00427981">
      <w:pPr>
        <w:pStyle w:val="Heading2"/>
        <w:rPr>
          <w:rFonts w:ascii="Times New Roman" w:hAnsi="Times New Roman" w:cs="Times New Roman"/>
          <w:sz w:val="22"/>
          <w:szCs w:val="22"/>
        </w:rPr>
      </w:pPr>
      <w:r w:rsidRPr="00427981">
        <w:rPr>
          <w:rFonts w:ascii="Times New Roman" w:hAnsi="Times New Roman" w:cs="Times New Roman"/>
          <w:sz w:val="22"/>
          <w:szCs w:val="22"/>
        </w:rPr>
        <w:t xml:space="preserve">Paper Acceptance Intimation by email: </w:t>
      </w:r>
      <w:r w:rsidR="00CA2C14">
        <w:rPr>
          <w:rFonts w:ascii="Times New Roman" w:hAnsi="Times New Roman" w:cs="Times New Roman"/>
          <w:b/>
          <w:sz w:val="22"/>
          <w:szCs w:val="22"/>
        </w:rPr>
        <w:t>October 31</w:t>
      </w:r>
      <w:r w:rsidRPr="00427981">
        <w:rPr>
          <w:rFonts w:ascii="Times New Roman" w:hAnsi="Times New Roman" w:cs="Times New Roman"/>
          <w:b/>
          <w:sz w:val="22"/>
          <w:szCs w:val="22"/>
        </w:rPr>
        <w:t>, 2022</w:t>
      </w:r>
      <w:r w:rsidRPr="00427981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D731A" w:rsidRPr="00427981" w:rsidRDefault="007D731A" w:rsidP="00427981">
      <w:pPr>
        <w:pStyle w:val="Heading2"/>
        <w:rPr>
          <w:rFonts w:ascii="Times New Roman" w:hAnsi="Times New Roman" w:cs="Times New Roman"/>
          <w:sz w:val="22"/>
          <w:szCs w:val="22"/>
        </w:rPr>
      </w:pPr>
      <w:r w:rsidRPr="00427981">
        <w:rPr>
          <w:rFonts w:ascii="Times New Roman" w:hAnsi="Times New Roman" w:cs="Times New Roman"/>
          <w:sz w:val="22"/>
          <w:szCs w:val="22"/>
        </w:rPr>
        <w:t xml:space="preserve">Conference on Impact of GST on Indian Economy: </w:t>
      </w:r>
      <w:r w:rsidRPr="00427981">
        <w:rPr>
          <w:rFonts w:ascii="Times New Roman" w:hAnsi="Times New Roman" w:cs="Times New Roman"/>
          <w:b/>
          <w:sz w:val="22"/>
          <w:szCs w:val="22"/>
        </w:rPr>
        <w:t>November 28-29 2022</w:t>
      </w:r>
    </w:p>
    <w:sectPr w:rsidR="007D731A" w:rsidRPr="00427981" w:rsidSect="00861CE8">
      <w:headerReference w:type="default" r:id="rId7"/>
      <w:pgSz w:w="12240" w:h="15840"/>
      <w:pgMar w:top="2160" w:right="1728" w:bottom="216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647" w:rsidRDefault="00CA2647" w:rsidP="00620211">
      <w:pPr>
        <w:spacing w:after="0" w:line="240" w:lineRule="auto"/>
      </w:pPr>
      <w:r>
        <w:separator/>
      </w:r>
    </w:p>
  </w:endnote>
  <w:endnote w:type="continuationSeparator" w:id="0">
    <w:p w:rsidR="00CA2647" w:rsidRDefault="00CA2647" w:rsidP="00620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EB9F98-1D63-4F61-8355-DC19ADC722FE}"/>
    <w:embedBold r:id="rId2" w:fontKey="{792C7EA4-EB90-4F4C-AEFC-C21CE2774187}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BD92249-5D0A-4305-840D-7EF8E465AA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957D6D1-A423-4A5F-92AB-EE42E9B0B11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5" w:fontKey="{DDE3CC79-2EE5-4045-9329-AA7F87CA6E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647" w:rsidRDefault="00CA2647" w:rsidP="00620211">
      <w:pPr>
        <w:spacing w:after="0" w:line="240" w:lineRule="auto"/>
      </w:pPr>
      <w:r>
        <w:separator/>
      </w:r>
    </w:p>
  </w:footnote>
  <w:footnote w:type="continuationSeparator" w:id="0">
    <w:p w:rsidR="00CA2647" w:rsidRDefault="00CA2647" w:rsidP="00620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11" w:rsidRDefault="00C05259">
    <w:pPr>
      <w:pStyle w:val="Head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978535</wp:posOffset>
              </wp:positionH>
              <wp:positionV relativeFrom="paragraph">
                <wp:posOffset>-66675</wp:posOffset>
              </wp:positionV>
              <wp:extent cx="3895725" cy="314325"/>
              <wp:effectExtent l="0" t="0" r="9525" b="9525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5725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05259" w:rsidRPr="00C05259" w:rsidRDefault="00C05259" w:rsidP="00CA2C14">
                          <w:pPr>
                            <w:pStyle w:val="Heading2"/>
                          </w:pPr>
                          <w:r w:rsidRPr="00C05259">
                            <w:t>National Institute of Public Finance and Policy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7.05pt;margin-top:-5.25pt;width:306.75pt;height:2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" fillcolor="white [3201]" stroked="f" strokeweight=".5pt">
              <v:textbox>
                <w:txbxContent>
                  <w:p w:rsidR="00C05259" w:rsidRPr="00C05259" w:rsidRDefault="00C05259" w:rsidP="00CA2C14">
                    <w:pPr>
                      <w:pStyle w:val="Heading2"/>
                    </w:pPr>
                    <w:r w:rsidRPr="00C05259">
                      <w:t>National Institute of Public Finance and Policy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620211" w:rsidRPr="00620211">
      <w:rPr>
        <w:noProof/>
        <w:lang w:val="en-IN" w:eastAsia="en-I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982980" cy="343053"/>
          <wp:effectExtent l="0" t="0" r="762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343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211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-1112520</wp:posOffset>
              </wp:positionH>
              <wp:positionV relativeFrom="paragraph">
                <wp:posOffset>731520</wp:posOffset>
              </wp:positionV>
              <wp:extent cx="7818120" cy="115062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8120" cy="1150620"/>
                      </a:xfrm>
                      <a:prstGeom prst="rect">
                        <a:avLst/>
                      </a:prstGeom>
                      <a:solidFill>
                        <a:srgbClr val="0F41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4EB9A8" id="Rectangle 1" o:spid="_x0000_s1026" style="position:absolute;margin-left:-87.6pt;margin-top:57.6pt;width:615.6pt;height: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" fillcolor="#0f4176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D7E"/>
    <w:rsid w:val="001235B3"/>
    <w:rsid w:val="002D493C"/>
    <w:rsid w:val="002E4592"/>
    <w:rsid w:val="003A21BF"/>
    <w:rsid w:val="003D3536"/>
    <w:rsid w:val="00427981"/>
    <w:rsid w:val="0054181B"/>
    <w:rsid w:val="00620211"/>
    <w:rsid w:val="00666B25"/>
    <w:rsid w:val="006734CB"/>
    <w:rsid w:val="006751E5"/>
    <w:rsid w:val="006B2D7E"/>
    <w:rsid w:val="00702C38"/>
    <w:rsid w:val="00741939"/>
    <w:rsid w:val="007D731A"/>
    <w:rsid w:val="00861CE8"/>
    <w:rsid w:val="0088723F"/>
    <w:rsid w:val="008A1AFF"/>
    <w:rsid w:val="008F30BA"/>
    <w:rsid w:val="00A35B23"/>
    <w:rsid w:val="00B16773"/>
    <w:rsid w:val="00B74C95"/>
    <w:rsid w:val="00BE473C"/>
    <w:rsid w:val="00C05259"/>
    <w:rsid w:val="00CA2647"/>
    <w:rsid w:val="00CA2C14"/>
    <w:rsid w:val="00CD55BA"/>
    <w:rsid w:val="00D57DE3"/>
    <w:rsid w:val="00E64642"/>
    <w:rsid w:val="00EF2890"/>
    <w:rsid w:val="00FA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479192-35D4-436A-8092-5F8CF9D97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79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6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C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0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211"/>
  </w:style>
  <w:style w:type="paragraph" w:styleId="Footer">
    <w:name w:val="footer"/>
    <w:basedOn w:val="Normal"/>
    <w:link w:val="FooterChar"/>
    <w:uiPriority w:val="99"/>
    <w:unhideWhenUsed/>
    <w:rsid w:val="00620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211"/>
  </w:style>
  <w:style w:type="paragraph" w:styleId="Title">
    <w:name w:val="Title"/>
    <w:basedOn w:val="Normal"/>
    <w:next w:val="Normal"/>
    <w:link w:val="TitleChar"/>
    <w:uiPriority w:val="10"/>
    <w:qFormat/>
    <w:rsid w:val="008A1AF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1A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8A1AF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279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ST.Conference@nipfp.org.in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2</cp:revision>
  <cp:lastPrinted>2022-08-01T04:25:00Z</cp:lastPrinted>
  <dcterms:created xsi:type="dcterms:W3CDTF">2022-08-01T05:51:00Z</dcterms:created>
  <dcterms:modified xsi:type="dcterms:W3CDTF">2022-08-01T05:51:00Z</dcterms:modified>
</cp:coreProperties>
</file>